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湟源县政府定价管理经营服务性收费目录清单</w:t>
      </w:r>
    </w:p>
    <w:tbl>
      <w:tblPr>
        <w:tblStyle w:val="4"/>
        <w:tblW w:w="15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980"/>
        <w:gridCol w:w="1144"/>
        <w:gridCol w:w="2096"/>
        <w:gridCol w:w="1440"/>
        <w:gridCol w:w="1620"/>
        <w:gridCol w:w="14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是否涉企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收费文件（文号）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定价部门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行业主管部门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收费单位</w:t>
            </w: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28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一、自然垄断和公共（益）性停车场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（一）县城主要街道临时停车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源政【2015】207号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3元/车次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（二）县城公园路口停车场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源发改【2015】54号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县发改局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5元/车次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（一）未实行物业管理的社区（村委）居民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源政【2005】56号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每户每</w:t>
            </w:r>
            <w:bookmarkStart w:id="0" w:name="_GoBack"/>
            <w:bookmarkEnd w:id="0"/>
            <w:r>
              <w:rPr>
                <w:rFonts w:hint="eastAsia"/>
              </w:rPr>
              <w:t>月5元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（二）企业单位、集贸市场和营业面积在201平方米以上的经营网点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源政【2005】56号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由城管部门清运的每吨35元，自行清运到指定垃圾场的每吨10元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（三）凡营业面积在200平方米以下的临街各类经营性网点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1、营业面积在50平方米以下的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源政【2005】56号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餐饮、蔬菜、娱乐每月每平方米按1.00元收取，其它行业每月按0.50元收取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2、营业面积在51-100平方米的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源政【2005】56号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餐饮、蔬菜、娱乐每月每平方米按0.90元收取，其它行业每月按0.40元收取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3、营业面积在101-200平方米的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源政【2005】56号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餐饮、蔬菜、娱乐每月每平方米按0.80元收取，其它行业每月按0.30元收取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是否涉企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收费文件（文号）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定价部门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行业主管部门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收费单位</w:t>
            </w: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（四）各类建筑、装修垃圾、渣土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源政【2005】56号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由城管部门清运的每吨40元，自行清运到指定垃圾场的每吨10元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（五）特种垃圾处理费（指生化、科研等制品的废弃物及屠宰场垃圾，不含医疗垃圾）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源政【2005】56号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每公斤0.70元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（六）各类零星占道摊点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源政【2005】56号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按实际占道面积每天每平方米1元收取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（七）行政、事业单位按单位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源政【2005】56号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县人民政府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县城管局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按单位实有人数每人每月2元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8" w:type="dxa"/>
            <w:vMerge w:val="restart"/>
            <w:vAlign w:val="center"/>
          </w:tcPr>
          <w:p>
            <w:r>
              <w:rPr>
                <w:rFonts w:hint="eastAsia"/>
              </w:rPr>
              <w:t>三、殡仪服务和公墓服务收费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殡葬基本服务收费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（一）殡葬基本服务收费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2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（二）公益性公墓价格及公墓维护管理费</w:t>
            </w:r>
          </w:p>
        </w:tc>
        <w:tc>
          <w:tcPr>
            <w:tcW w:w="1144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96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四、公办养老机构基本养老服务收费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48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五、保障性住房、房改房、老旧住宅小区和住房前期物业服务收费</w:t>
            </w:r>
          </w:p>
        </w:tc>
        <w:tc>
          <w:tcPr>
            <w:tcW w:w="114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9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B5F"/>
    <w:multiLevelType w:val="multilevel"/>
    <w:tmpl w:val="6BCF2B5F"/>
    <w:lvl w:ilvl="0" w:tentative="0">
      <w:start w:val="1"/>
      <w:numFmt w:val="japaneseCounting"/>
      <w:lvlText w:val="（%1）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17DD"/>
    <w:rsid w:val="53F117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2018-09-18T01:30:00Z</dcterms:created>
  <dc:creator>Administrator</dc:creator>
  <cp:lastModifiedBy>Administrator</cp:lastModifiedBy>
  <dcterms:modified xsi:type="dcterms:W3CDTF">2018-09-18T01:33:58Z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