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年药品经营企业行政处罚信息公告</w:t>
      </w:r>
    </w:p>
    <w:tbl>
      <w:tblPr>
        <w:tblStyle w:val="7"/>
        <w:tblW w:w="995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7"/>
        <w:gridCol w:w="2192"/>
        <w:gridCol w:w="2323"/>
        <w:gridCol w:w="2205"/>
        <w:gridCol w:w="2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2"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行政处罚决定书文号</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ind w:firstLine="520" w:firstLineChars="200"/>
              <w:jc w:val="both"/>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源食药监药罚</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〔201</w:t>
            </w:r>
            <w:r>
              <w:rPr>
                <w:rFonts w:hint="eastAsia" w:ascii="仿宋_GB2312" w:hAnsi="仿宋_GB2312" w:eastAsia="仿宋_GB2312" w:cs="仿宋_GB2312"/>
                <w:sz w:val="26"/>
                <w:szCs w:val="26"/>
                <w:lang w:val="en-US" w:eastAsia="zh-CN"/>
              </w:rPr>
              <w:t>9</w:t>
            </w:r>
            <w:r>
              <w:rPr>
                <w:rFonts w:hint="eastAsia" w:ascii="仿宋_GB2312" w:hAnsi="仿宋_GB2312" w:eastAsia="仿宋_GB2312" w:cs="仿宋_GB2312"/>
                <w:sz w:val="26"/>
                <w:szCs w:val="26"/>
              </w:rPr>
              <w:t>〕</w:t>
            </w:r>
            <w:r>
              <w:rPr>
                <w:rFonts w:hint="eastAsia" w:ascii="仿宋_GB2312" w:hAnsi="仿宋_GB2312" w:eastAsia="仿宋_GB2312" w:cs="仿宋_GB2312"/>
                <w:sz w:val="26"/>
                <w:szCs w:val="26"/>
                <w:lang w:val="en-US" w:eastAsia="zh-CN"/>
              </w:rPr>
              <w:t>1</w:t>
            </w:r>
            <w:r>
              <w:rPr>
                <w:rFonts w:hint="eastAsia" w:ascii="仿宋_GB2312" w:hAnsi="仿宋_GB2312" w:eastAsia="仿宋_GB2312" w:cs="仿宋_GB2312"/>
                <w:sz w:val="26"/>
                <w:szCs w:val="26"/>
              </w:rPr>
              <w:t>号</w:t>
            </w:r>
          </w:p>
        </w:tc>
        <w:tc>
          <w:tcPr>
            <w:tcW w:w="2323"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源</w:t>
            </w:r>
            <w:r>
              <w:rPr>
                <w:rFonts w:hint="eastAsia" w:ascii="仿宋_GB2312" w:hAnsi="仿宋_GB2312" w:eastAsia="仿宋_GB2312" w:cs="仿宋_GB2312"/>
                <w:sz w:val="26"/>
                <w:szCs w:val="26"/>
                <w:lang w:eastAsia="zh-CN"/>
              </w:rPr>
              <w:t>市监处字</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〔201</w:t>
            </w:r>
            <w:r>
              <w:rPr>
                <w:rFonts w:hint="eastAsia" w:ascii="仿宋_GB2312" w:hAnsi="仿宋_GB2312" w:eastAsia="仿宋_GB2312" w:cs="仿宋_GB2312"/>
                <w:sz w:val="26"/>
                <w:szCs w:val="26"/>
                <w:lang w:val="en-US" w:eastAsia="zh-CN"/>
              </w:rPr>
              <w:t>9</w:t>
            </w:r>
            <w:r>
              <w:rPr>
                <w:rFonts w:hint="eastAsia" w:ascii="仿宋_GB2312" w:hAnsi="仿宋_GB2312" w:eastAsia="仿宋_GB2312" w:cs="仿宋_GB2312"/>
                <w:sz w:val="26"/>
                <w:szCs w:val="26"/>
              </w:rPr>
              <w:t>〕</w:t>
            </w:r>
            <w:r>
              <w:rPr>
                <w:rFonts w:hint="eastAsia" w:ascii="仿宋_GB2312" w:hAnsi="仿宋_GB2312" w:eastAsia="仿宋_GB2312" w:cs="仿宋_GB2312"/>
                <w:sz w:val="26"/>
                <w:szCs w:val="26"/>
                <w:lang w:val="en-US" w:eastAsia="zh-CN"/>
              </w:rPr>
              <w:t>13</w:t>
            </w:r>
            <w:r>
              <w:rPr>
                <w:rFonts w:hint="eastAsia" w:ascii="仿宋_GB2312" w:hAnsi="仿宋_GB2312" w:eastAsia="仿宋_GB2312" w:cs="仿宋_GB2312"/>
                <w:sz w:val="26"/>
                <w:szCs w:val="26"/>
              </w:rPr>
              <w:t>号</w:t>
            </w:r>
          </w:p>
        </w:tc>
        <w:tc>
          <w:tcPr>
            <w:tcW w:w="2205"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源</w:t>
            </w:r>
            <w:r>
              <w:rPr>
                <w:rFonts w:hint="eastAsia" w:ascii="仿宋_GB2312" w:hAnsi="仿宋_GB2312" w:eastAsia="仿宋_GB2312" w:cs="仿宋_GB2312"/>
                <w:sz w:val="26"/>
                <w:szCs w:val="26"/>
                <w:lang w:eastAsia="zh-CN"/>
              </w:rPr>
              <w:t>市监处字</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〔201</w:t>
            </w:r>
            <w:r>
              <w:rPr>
                <w:rFonts w:hint="eastAsia" w:ascii="仿宋_GB2312" w:hAnsi="仿宋_GB2312" w:eastAsia="仿宋_GB2312" w:cs="仿宋_GB2312"/>
                <w:sz w:val="26"/>
                <w:szCs w:val="26"/>
                <w:lang w:val="en-US" w:eastAsia="zh-CN"/>
              </w:rPr>
              <w:t>9</w:t>
            </w:r>
            <w:r>
              <w:rPr>
                <w:rFonts w:hint="eastAsia" w:ascii="仿宋_GB2312" w:hAnsi="仿宋_GB2312" w:eastAsia="仿宋_GB2312" w:cs="仿宋_GB2312"/>
                <w:sz w:val="26"/>
                <w:szCs w:val="26"/>
              </w:rPr>
              <w:t>〕</w:t>
            </w:r>
            <w:r>
              <w:rPr>
                <w:rFonts w:hint="eastAsia" w:ascii="仿宋_GB2312" w:hAnsi="仿宋_GB2312" w:eastAsia="仿宋_GB2312" w:cs="仿宋_GB2312"/>
                <w:sz w:val="26"/>
                <w:szCs w:val="26"/>
                <w:lang w:val="en-US" w:eastAsia="zh-CN"/>
              </w:rPr>
              <w:t>30</w:t>
            </w:r>
            <w:r>
              <w:rPr>
                <w:rFonts w:hint="eastAsia" w:ascii="仿宋_GB2312" w:hAnsi="仿宋_GB2312" w:eastAsia="仿宋_GB2312" w:cs="仿宋_GB2312"/>
                <w:sz w:val="26"/>
                <w:szCs w:val="26"/>
              </w:rPr>
              <w:t>号</w:t>
            </w:r>
          </w:p>
        </w:tc>
        <w:tc>
          <w:tcPr>
            <w:tcW w:w="2190" w:type="dxa"/>
            <w:tcBorders>
              <w:top w:val="outset" w:color="auto" w:sz="6" w:space="0"/>
              <w:left w:val="outset" w:color="auto" w:sz="6" w:space="0"/>
              <w:bottom w:val="outset" w:color="auto" w:sz="6" w:space="0"/>
              <w:right w:val="outset" w:color="auto" w:sz="6" w:space="0"/>
            </w:tcBorders>
            <w:vAlign w:val="bottom"/>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lang w:val="en-US" w:eastAsia="zh-CN"/>
              </w:rPr>
            </w:pPr>
            <w:r>
              <w:rPr>
                <w:rFonts w:hint="eastAsia" w:ascii="仿宋_GB2312" w:hAnsi="仿宋_GB2312" w:eastAsia="仿宋_GB2312" w:cs="仿宋_GB2312"/>
                <w:sz w:val="26"/>
                <w:szCs w:val="26"/>
                <w:lang w:val="en-US" w:eastAsia="zh-CN"/>
              </w:rPr>
              <w:t>源市监处字</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lang w:val="en-US" w:eastAsia="zh-CN"/>
              </w:rPr>
              <w:t>〔2019〕12号</w:t>
            </w:r>
            <w:r>
              <w:rPr>
                <w:rFonts w:hint="eastAsia" w:ascii="仿宋_GB2312" w:hAnsi="仿宋_GB2312" w:eastAsia="仿宋_GB2312" w:cs="仿宋_GB2312"/>
                <w:sz w:val="26"/>
                <w:szCs w:val="26"/>
                <w:lang w:val="en-US" w:eastAsia="zh-CN"/>
              </w:rPr>
              <w:br w:type="textWrapping"/>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31"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案件名称</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青海省新绿洲医药连锁有限公司湟源华康大药房销售劣药案</w:t>
            </w:r>
          </w:p>
        </w:tc>
        <w:tc>
          <w:tcPr>
            <w:tcW w:w="2323"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湟源县城关镇拉加藏医门诊非法渠道购进药品案</w:t>
            </w:r>
          </w:p>
        </w:tc>
        <w:tc>
          <w:tcPr>
            <w:tcW w:w="2205"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王桂香未取得《药品经营许可证》经营药品案</w:t>
            </w:r>
          </w:p>
        </w:tc>
        <w:tc>
          <w:tcPr>
            <w:tcW w:w="2190"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巴燕乡下寺村卫生室非法渠道购进药品案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3"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违法企业名称或违法自然人姓名</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青海省新绿洲医药连锁有限公司湟源华康大药房</w:t>
            </w:r>
          </w:p>
        </w:tc>
        <w:tc>
          <w:tcPr>
            <w:tcW w:w="2323"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湟源县城关镇拉加藏医门诊</w:t>
            </w:r>
          </w:p>
        </w:tc>
        <w:tc>
          <w:tcPr>
            <w:tcW w:w="2205"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王桂香</w:t>
            </w:r>
          </w:p>
        </w:tc>
        <w:tc>
          <w:tcPr>
            <w:tcW w:w="2190"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巴燕乡下寺村卫生室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3"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违法企业组织机构代码</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default"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91630123679163359p</w:t>
            </w:r>
          </w:p>
        </w:tc>
        <w:tc>
          <w:tcPr>
            <w:tcW w:w="2323"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92630123MA755M3A20</w:t>
            </w:r>
          </w:p>
        </w:tc>
        <w:tc>
          <w:tcPr>
            <w:tcW w:w="2205"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tc>
        <w:tc>
          <w:tcPr>
            <w:tcW w:w="2190"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《医疗机构执业许可证》（登记号：PDY00177-163012317D6001）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77"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法定代表人（负责人）姓名</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鱼刚</w:t>
            </w:r>
          </w:p>
        </w:tc>
        <w:tc>
          <w:tcPr>
            <w:tcW w:w="2323"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班玛桑毛</w:t>
            </w:r>
          </w:p>
        </w:tc>
        <w:tc>
          <w:tcPr>
            <w:tcW w:w="2205"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王桂香</w:t>
            </w:r>
          </w:p>
        </w:tc>
        <w:tc>
          <w:tcPr>
            <w:tcW w:w="2190"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张世贵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70"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主要违法事实</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default"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市民举报在青海省新绿洲医药连锁有限公司湟源华康大药房购买了过期磺胺醋酰滴眼液，经执法人员调查药品进货票据及销售记录，购进数量10盒均已销售，未发现该剩余药品，销售记录显示此过期药品销售给投诉者，此行为违法了《中华人民共和国药品管理法》第十八条的规定，给予警告，没收违法所得160元，处违法销售药品货值金额两倍的罚款320元</w:t>
            </w:r>
          </w:p>
        </w:tc>
        <w:tc>
          <w:tcPr>
            <w:tcW w:w="2323" w:type="dxa"/>
            <w:tcBorders>
              <w:top w:val="outset" w:color="auto" w:sz="6" w:space="0"/>
              <w:left w:val="outset" w:color="auto" w:sz="6" w:space="0"/>
              <w:bottom w:val="outset" w:color="auto" w:sz="6" w:space="0"/>
              <w:right w:val="outset" w:color="auto" w:sz="6" w:space="0"/>
            </w:tcBorders>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日常监督检查发现城关镇拉加藏医门诊药房内过期的清艾条共计11盒，负责人现场无法提供此药品的随货同行单及供货商的合法资质。当场对已过期的11盒清艾条进行了行政强制措施。此行为违反了《中华人民共和国药品管理法》第三十四条，第四十九条第三款第（三）项的规定，依据《中华人民共和国药品管理法》，</w:t>
            </w:r>
            <w:r>
              <w:rPr>
                <w:rFonts w:hint="eastAsia" w:ascii="仿宋_GB2312" w:hAnsi="仿宋_GB2312" w:eastAsia="仿宋_GB2312" w:cs="仿宋_GB2312"/>
                <w:color w:val="000000" w:themeColor="text1"/>
                <w:sz w:val="26"/>
                <w:szCs w:val="26"/>
                <w:lang w:val="en-US" w:eastAsia="zh-CN" w:bidi="ar-SA"/>
                <w14:textFill>
                  <w14:solidFill>
                    <w14:schemeClr w14:val="tx1"/>
                  </w14:solidFill>
                </w14:textFill>
              </w:rPr>
              <w:t>下达《责令整改通知书》1份，责令停止违法行为；非法渠道购进药品处处货值金额五倍的罚款：825元；销售劣药没收劣药11盒，并处货值金额三倍的罚款：495元</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tc>
        <w:tc>
          <w:tcPr>
            <w:tcW w:w="2205" w:type="dxa"/>
            <w:tcBorders>
              <w:top w:val="outset" w:color="auto" w:sz="6" w:space="0"/>
              <w:left w:val="outset" w:color="auto" w:sz="6" w:space="0"/>
              <w:bottom w:val="outset" w:color="auto" w:sz="6" w:space="0"/>
              <w:right w:val="outset" w:color="auto" w:sz="6" w:space="0"/>
            </w:tcBorders>
            <w:vAlign w:val="top"/>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我局执法人员在当事人（王桂香）经营的小卖部进行执法检查，现场发现营业场所内的货架上摆放了大量药品共计1035盒（袋），销售123盒（袋）对货架内未销售的药品进行了查封扣押。此行为违反了《中华人民共和国药品管理法》第十四条第一款，没收违法销售的药品1035盒（袋）；没收违法所得568元；处货值金额二倍的罚款：9992.2元</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tc>
        <w:tc>
          <w:tcPr>
            <w:tcW w:w="2190" w:type="dxa"/>
            <w:tcBorders>
              <w:top w:val="outset" w:color="auto" w:sz="6" w:space="0"/>
              <w:left w:val="outset" w:color="auto" w:sz="6" w:space="0"/>
              <w:bottom w:val="outset" w:color="auto" w:sz="6" w:space="0"/>
              <w:right w:val="outset" w:color="auto" w:sz="6" w:space="0"/>
            </w:tcBorders>
            <w:vAlign w:val="top"/>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 xml:space="preserve">我局执法人员到巴燕乡下寺村卫生室进行日常监督检查时，在卫生室发现33种中药饮片当事人无法提供随货同行单和供货商合法资质，其中党参等10种中药饮片外包装无任何产品信息标签或合格证。未从具有药品生产、经营资格的企业购进药品，涉嫌非法渠道购进药品，故对上述10种中药饮片实施查封扣押，10种中药饮片共计18斤，此行为违反了《中华人民共和国药品管理法》第三十四条。责令改正非法渠道购进药品的行为；没收违法购进的药品18斤；并处违法购进药品货值金额三倍的罚款：1800元                                                    </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17"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行政处罚的种类和依据</w:t>
            </w:r>
          </w:p>
        </w:tc>
        <w:tc>
          <w:tcPr>
            <w:tcW w:w="2192" w:type="dxa"/>
            <w:tcBorders>
              <w:top w:val="outset" w:color="auto" w:sz="6" w:space="0"/>
              <w:left w:val="outset" w:color="auto" w:sz="6" w:space="0"/>
              <w:bottom w:val="outset" w:color="auto" w:sz="6" w:space="0"/>
              <w:right w:val="outset" w:color="auto" w:sz="6" w:space="0"/>
            </w:tcBorders>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依据《中华人民共和国药品管理法》第七十四条规定给予处罚。</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tc>
        <w:tc>
          <w:tcPr>
            <w:tcW w:w="2323" w:type="dxa"/>
            <w:tcBorders>
              <w:top w:val="outset" w:color="auto" w:sz="6" w:space="0"/>
              <w:left w:val="outset" w:color="auto" w:sz="6" w:space="0"/>
              <w:bottom w:val="outset" w:color="auto" w:sz="6" w:space="0"/>
              <w:right w:val="outset" w:color="auto" w:sz="6" w:space="0"/>
            </w:tcBorders>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依据《中华人民共和国药品管理法》第七十九条、第七十四条相关规定予以处罚。</w:t>
            </w:r>
          </w:p>
        </w:tc>
        <w:tc>
          <w:tcPr>
            <w:tcW w:w="2205" w:type="dxa"/>
            <w:tcBorders>
              <w:top w:val="outset" w:color="auto" w:sz="6" w:space="0"/>
              <w:left w:val="outset" w:color="auto" w:sz="6" w:space="0"/>
              <w:bottom w:val="outset" w:color="auto" w:sz="6" w:space="0"/>
              <w:right w:val="outset" w:color="auto" w:sz="6" w:space="0"/>
            </w:tcBorders>
            <w:vAlign w:val="top"/>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依据《中华人民共和国药品管理法》第七十二条相关规定予以处罚。</w:t>
            </w:r>
          </w:p>
        </w:tc>
        <w:tc>
          <w:tcPr>
            <w:tcW w:w="2190" w:type="dxa"/>
            <w:tcBorders>
              <w:top w:val="outset" w:color="auto" w:sz="6" w:space="0"/>
              <w:left w:val="outset" w:color="auto" w:sz="6" w:space="0"/>
              <w:bottom w:val="outset" w:color="auto" w:sz="6" w:space="0"/>
              <w:right w:val="outset" w:color="auto" w:sz="6" w:space="0"/>
            </w:tcBorders>
            <w:vAlign w:val="top"/>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依据《中华人民共和国药品管理法》第七十九条相关规定予以处罚。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93"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行政处罚的履行方式和期限</w:t>
            </w:r>
          </w:p>
        </w:tc>
        <w:tc>
          <w:tcPr>
            <w:tcW w:w="2192" w:type="dxa"/>
            <w:tcBorders>
              <w:top w:val="outset" w:color="auto" w:sz="6" w:space="0"/>
              <w:left w:val="outset" w:color="auto" w:sz="6" w:space="0"/>
              <w:bottom w:val="outset" w:color="auto" w:sz="6" w:space="0"/>
              <w:right w:val="outset" w:color="auto" w:sz="6" w:space="0"/>
            </w:tcBorders>
          </w:tcPr>
          <w:p>
            <w:pPr>
              <w:keepNext w:val="0"/>
              <w:keepLines w:val="0"/>
              <w:pageBreakBefore w:val="0"/>
              <w:kinsoku/>
              <w:wordWrap/>
              <w:overflowPunct/>
              <w:autoSpaceDE/>
              <w:autoSpaceDN/>
              <w:bidi w:val="0"/>
              <w:adjustRightInd/>
              <w:snapToGrid/>
              <w:spacing w:line="340" w:lineRule="exact"/>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当事人自本处罚决定书送达之日起15日内，持本局出具的电子交款书到农业银行交纳罚款，并将交款票据交至湟源县市场监督管理局财务室。逾期不缴纳罚没款的，根据《中华人民共和国行政处罚法》第五十一条第一项的规定，每日按罚款数额的3%加处罚款，并将依法申请人民法院强制执行。</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p>
        </w:tc>
        <w:tc>
          <w:tcPr>
            <w:tcW w:w="2323" w:type="dxa"/>
            <w:tcBorders>
              <w:top w:val="outset" w:color="auto" w:sz="6" w:space="0"/>
              <w:left w:val="outset" w:color="auto" w:sz="6" w:space="0"/>
              <w:bottom w:val="outset" w:color="auto" w:sz="6" w:space="0"/>
              <w:right w:val="outset" w:color="auto" w:sz="6" w:space="0"/>
            </w:tcBorders>
          </w:tcPr>
          <w:p>
            <w:pPr>
              <w:pStyle w:val="3"/>
              <w:keepNext w:val="0"/>
              <w:keepLines w:val="0"/>
              <w:pageBreakBefore w:val="0"/>
              <w:tabs>
                <w:tab w:val="left" w:pos="8920"/>
              </w:tabs>
              <w:kinsoku/>
              <w:wordWrap/>
              <w:overflowPunct/>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当事人自本处罚决定书送达之日起15日内，持本局出具的电子交款书到农业银行交纳罚款，并将交款票据交至湟源县市场监督管理局财务室，逾期不履行决定，本局将依法采取下列措施:</w:t>
            </w:r>
          </w:p>
          <w:p>
            <w:pPr>
              <w:pStyle w:val="3"/>
              <w:keepNext w:val="0"/>
              <w:keepLines w:val="0"/>
              <w:pageBreakBefore w:val="0"/>
              <w:tabs>
                <w:tab w:val="left" w:pos="8920"/>
              </w:tabs>
              <w:kinsoku/>
              <w:wordWrap/>
              <w:overflowPunct/>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(一)到期不缴纳罚款的，每日按罚款数额的百分之三加处罚款；</w:t>
            </w:r>
          </w:p>
          <w:p>
            <w:pPr>
              <w:pStyle w:val="3"/>
              <w:keepNext w:val="0"/>
              <w:keepLines w:val="0"/>
              <w:pageBreakBefore w:val="0"/>
              <w:tabs>
                <w:tab w:val="left" w:pos="8920"/>
              </w:tabs>
              <w:kinsoku/>
              <w:wordWrap/>
              <w:overflowPunct/>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(二)并申请人民法院强制执行。</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p>
        </w:tc>
        <w:tc>
          <w:tcPr>
            <w:tcW w:w="2205" w:type="dxa"/>
            <w:tcBorders>
              <w:top w:val="outset" w:color="auto" w:sz="6" w:space="0"/>
              <w:left w:val="outset" w:color="auto" w:sz="6" w:space="0"/>
              <w:bottom w:val="outset" w:color="auto" w:sz="6" w:space="0"/>
              <w:right w:val="outset" w:color="auto" w:sz="6" w:space="0"/>
            </w:tcBorders>
            <w:vAlign w:val="top"/>
          </w:tcPr>
          <w:p>
            <w:pPr>
              <w:pStyle w:val="3"/>
              <w:keepNext w:val="0"/>
              <w:keepLines w:val="0"/>
              <w:pageBreakBefore w:val="0"/>
              <w:widowControl w:val="0"/>
              <w:tabs>
                <w:tab w:val="left" w:pos="8920"/>
              </w:tabs>
              <w:kinsoku/>
              <w:wordWrap/>
              <w:overflowPunct/>
              <w:topLinePunct w:val="0"/>
              <w:autoSpaceDE/>
              <w:autoSpaceDN/>
              <w:bidi w:val="0"/>
              <w:adjustRightInd/>
              <w:snapToGrid/>
              <w:spacing w:line="340" w:lineRule="exact"/>
              <w:ind w:left="0" w:leftChars="0" w:right="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当事人自本处罚决定书送达之日起15日内，持本局出具的电子交款书到农业银行交纳罚款，并将交款票据交至湟源县市场监督管理局财务室，逾期不履行决定，本局将依法采取下列措施:</w:t>
            </w:r>
          </w:p>
          <w:p>
            <w:pPr>
              <w:pStyle w:val="3"/>
              <w:keepNext w:val="0"/>
              <w:keepLines w:val="0"/>
              <w:pageBreakBefore w:val="0"/>
              <w:widowControl w:val="0"/>
              <w:tabs>
                <w:tab w:val="left" w:pos="8920"/>
              </w:tabs>
              <w:kinsoku/>
              <w:wordWrap/>
              <w:overflowPunct/>
              <w:topLinePunct w:val="0"/>
              <w:autoSpaceDE/>
              <w:autoSpaceDN/>
              <w:bidi w:val="0"/>
              <w:adjustRightInd/>
              <w:snapToGrid/>
              <w:spacing w:line="340" w:lineRule="exact"/>
              <w:ind w:left="0" w:leftChars="0" w:right="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(一)到期不缴纳罚款的，每日按罚款数额的百分之三加处罚款；(二)并申请人民法院强制执行。</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p>
        </w:tc>
        <w:tc>
          <w:tcPr>
            <w:tcW w:w="2190" w:type="dxa"/>
            <w:tcBorders>
              <w:top w:val="outset" w:color="auto" w:sz="6" w:space="0"/>
              <w:left w:val="outset" w:color="auto" w:sz="6" w:space="0"/>
              <w:bottom w:val="outset" w:color="auto" w:sz="6" w:space="0"/>
              <w:right w:val="outset" w:color="auto" w:sz="6" w:space="0"/>
            </w:tcBorders>
            <w:vAlign w:val="top"/>
          </w:tcPr>
          <w:p>
            <w:pPr>
              <w:pStyle w:val="3"/>
              <w:keepNext w:val="0"/>
              <w:keepLines w:val="0"/>
              <w:pageBreakBefore w:val="0"/>
              <w:widowControl w:val="0"/>
              <w:tabs>
                <w:tab w:val="left" w:pos="8920"/>
              </w:tabs>
              <w:kinsoku/>
              <w:wordWrap/>
              <w:overflowPunct/>
              <w:topLinePunct w:val="0"/>
              <w:autoSpaceDE/>
              <w:autoSpaceDN/>
              <w:bidi w:val="0"/>
              <w:adjustRightInd/>
              <w:snapToGrid/>
              <w:spacing w:line="340" w:lineRule="exact"/>
              <w:ind w:left="0" w:leftChars="0" w:right="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当事人自本处罚决定书送达之日起15日内，持本局出具的电子交款书到农业银行交纳罚款，并将交款票据交至湟源县市场监督管理局财务室，逾期不履行决定，本局将依法采取下列措施:</w:t>
            </w:r>
          </w:p>
          <w:p>
            <w:pPr>
              <w:pStyle w:val="3"/>
              <w:keepNext w:val="0"/>
              <w:keepLines w:val="0"/>
              <w:pageBreakBefore w:val="0"/>
              <w:widowControl w:val="0"/>
              <w:tabs>
                <w:tab w:val="left" w:pos="8920"/>
              </w:tabs>
              <w:kinsoku/>
              <w:wordWrap/>
              <w:overflowPunct/>
              <w:topLinePunct w:val="0"/>
              <w:autoSpaceDE/>
              <w:autoSpaceDN/>
              <w:bidi w:val="0"/>
              <w:adjustRightInd/>
              <w:snapToGrid/>
              <w:spacing w:line="340" w:lineRule="exact"/>
              <w:ind w:left="0" w:leftChars="0" w:right="0" w:firstLine="0" w:firstLineChars="0"/>
              <w:jc w:val="both"/>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t>(一)到期不缴纳罚款的，每日按罚款数额的百分之三加处罚款；(二)并申请人民法院强制执行。</w:t>
            </w:r>
          </w:p>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u w:val="none"/>
                <w:lang w:val="en-US" w:eastAsia="zh-CN" w:bidi="ar-SA"/>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1047"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作出处罚的机关名称和日期号</w:t>
            </w:r>
          </w:p>
        </w:tc>
        <w:tc>
          <w:tcPr>
            <w:tcW w:w="2192"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湟源县市场监督管理局                  2019年9月20日</w:t>
            </w:r>
          </w:p>
        </w:tc>
        <w:tc>
          <w:tcPr>
            <w:tcW w:w="2323"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湟源县市场监督管理局                 2019年9月4日</w:t>
            </w:r>
          </w:p>
        </w:tc>
        <w:tc>
          <w:tcPr>
            <w:tcW w:w="2205"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湟源县市场监督管理局                 2019年11月29日</w:t>
            </w:r>
          </w:p>
        </w:tc>
        <w:tc>
          <w:tcPr>
            <w:tcW w:w="2190" w:type="dxa"/>
            <w:tcBorders>
              <w:top w:val="outset" w:color="auto" w:sz="6" w:space="0"/>
              <w:left w:val="outset" w:color="auto" w:sz="6" w:space="0"/>
              <w:bottom w:val="outset" w:color="auto" w:sz="6" w:space="0"/>
              <w:right w:val="outset" w:color="auto" w:sz="6" w:space="0"/>
            </w:tcBorders>
            <w:vAlign w:val="center"/>
          </w:tcPr>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default" w:ascii="仿宋_GB2312" w:hAnsi="仿宋_GB2312" w:eastAsia="仿宋_GB2312" w:cs="仿宋_GB2312"/>
                <w:color w:val="000000" w:themeColor="text1"/>
                <w:sz w:val="26"/>
                <w:szCs w:val="26"/>
                <w:lang w:val="en-US" w:eastAsia="zh-CN"/>
                <w14:textFill>
                  <w14:solidFill>
                    <w14:schemeClr w14:val="tx1"/>
                  </w14:solidFill>
                </w14:textFill>
              </w:rPr>
            </w:pPr>
            <w:r>
              <w:rPr>
                <w:rFonts w:hint="eastAsia" w:ascii="仿宋_GB2312" w:hAnsi="仿宋_GB2312" w:eastAsia="仿宋_GB2312" w:cs="仿宋_GB2312"/>
                <w:color w:val="000000" w:themeColor="text1"/>
                <w:sz w:val="26"/>
                <w:szCs w:val="26"/>
                <w:lang w:val="en-US" w:eastAsia="zh-CN"/>
                <w14:textFill>
                  <w14:solidFill>
                    <w14:schemeClr w14:val="tx1"/>
                  </w14:solidFill>
                </w14:textFill>
              </w:rPr>
              <w:t>湟源县市场监督管理局                 2019年11月28日</w:t>
            </w:r>
          </w:p>
        </w:tc>
      </w:tr>
    </w:tbl>
    <w:p>
      <w:pPr>
        <w:pStyle w:val="6"/>
        <w:keepNext w:val="0"/>
        <w:keepLines w:val="0"/>
        <w:pageBreakBefore w:val="0"/>
        <w:widowControl/>
        <w:kinsoku/>
        <w:wordWrap/>
        <w:overflowPunct/>
        <w:topLinePunct/>
        <w:autoSpaceDE/>
        <w:autoSpaceDN/>
        <w:bidi w:val="0"/>
        <w:adjustRightInd/>
        <w:snapToGrid/>
        <w:spacing w:beforeAutospacing="0" w:afterAutospacing="0" w:line="340" w:lineRule="exact"/>
        <w:jc w:val="left"/>
        <w:textAlignment w:val="auto"/>
        <w:rPr>
          <w:rFonts w:hint="eastAsia" w:ascii="仿宋_GB2312" w:hAnsi="仿宋_GB2312" w:eastAsia="仿宋_GB2312" w:cs="仿宋_GB2312"/>
          <w:color w:val="000000" w:themeColor="text1"/>
          <w:sz w:val="26"/>
          <w:szCs w:val="26"/>
          <w:lang w:val="en-US" w:eastAsia="zh-CN"/>
          <w14:textFill>
            <w14:solidFill>
              <w14:schemeClr w14:val="tx1"/>
            </w14:solidFill>
          </w14:textFill>
        </w:rPr>
      </w:pPr>
    </w:p>
    <w:sectPr>
      <w:pgSz w:w="11906" w:h="16838"/>
      <w:pgMar w:top="113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0CA0"/>
    <w:rsid w:val="00061078"/>
    <w:rsid w:val="00096AF8"/>
    <w:rsid w:val="002008DF"/>
    <w:rsid w:val="00215D32"/>
    <w:rsid w:val="00251A31"/>
    <w:rsid w:val="002B40FF"/>
    <w:rsid w:val="00353386"/>
    <w:rsid w:val="00360A97"/>
    <w:rsid w:val="00363B7A"/>
    <w:rsid w:val="004B42A4"/>
    <w:rsid w:val="004F2110"/>
    <w:rsid w:val="004F6CC8"/>
    <w:rsid w:val="00535E8A"/>
    <w:rsid w:val="005414B7"/>
    <w:rsid w:val="00541DA6"/>
    <w:rsid w:val="005459B1"/>
    <w:rsid w:val="006236AF"/>
    <w:rsid w:val="006907B7"/>
    <w:rsid w:val="006B4B73"/>
    <w:rsid w:val="006E071F"/>
    <w:rsid w:val="00726F30"/>
    <w:rsid w:val="007F04B9"/>
    <w:rsid w:val="007F2FBD"/>
    <w:rsid w:val="008279CF"/>
    <w:rsid w:val="00892E00"/>
    <w:rsid w:val="008D0E84"/>
    <w:rsid w:val="009148A0"/>
    <w:rsid w:val="009A46B4"/>
    <w:rsid w:val="009C2C1A"/>
    <w:rsid w:val="009D776B"/>
    <w:rsid w:val="00A27068"/>
    <w:rsid w:val="00A513B2"/>
    <w:rsid w:val="00AF0638"/>
    <w:rsid w:val="00B27CFB"/>
    <w:rsid w:val="00BF3CAF"/>
    <w:rsid w:val="00C000FC"/>
    <w:rsid w:val="00C16E44"/>
    <w:rsid w:val="00C30739"/>
    <w:rsid w:val="00C610E0"/>
    <w:rsid w:val="00CC1C0D"/>
    <w:rsid w:val="00D17F52"/>
    <w:rsid w:val="00D965DD"/>
    <w:rsid w:val="00E302EE"/>
    <w:rsid w:val="00E66099"/>
    <w:rsid w:val="00E72573"/>
    <w:rsid w:val="00ED2502"/>
    <w:rsid w:val="00EE34F4"/>
    <w:rsid w:val="00F9211A"/>
    <w:rsid w:val="01566199"/>
    <w:rsid w:val="0AAF006C"/>
    <w:rsid w:val="0DEB3016"/>
    <w:rsid w:val="11AF2DD5"/>
    <w:rsid w:val="12F90B51"/>
    <w:rsid w:val="12FA615E"/>
    <w:rsid w:val="14EE4EBA"/>
    <w:rsid w:val="164D7A7F"/>
    <w:rsid w:val="170A1233"/>
    <w:rsid w:val="181903E9"/>
    <w:rsid w:val="1C3A26B7"/>
    <w:rsid w:val="1DB7770A"/>
    <w:rsid w:val="1EDC3353"/>
    <w:rsid w:val="241675C2"/>
    <w:rsid w:val="251971D2"/>
    <w:rsid w:val="26043E80"/>
    <w:rsid w:val="268472AB"/>
    <w:rsid w:val="270354C3"/>
    <w:rsid w:val="2F627BC8"/>
    <w:rsid w:val="31727E14"/>
    <w:rsid w:val="336F435C"/>
    <w:rsid w:val="37E862DF"/>
    <w:rsid w:val="3FE806E8"/>
    <w:rsid w:val="4048013C"/>
    <w:rsid w:val="439D74E0"/>
    <w:rsid w:val="449F4D64"/>
    <w:rsid w:val="487D353C"/>
    <w:rsid w:val="48D36321"/>
    <w:rsid w:val="493978A0"/>
    <w:rsid w:val="4CBD14AA"/>
    <w:rsid w:val="502A4C4B"/>
    <w:rsid w:val="504825FE"/>
    <w:rsid w:val="50F56BF5"/>
    <w:rsid w:val="52B27F3C"/>
    <w:rsid w:val="56C25315"/>
    <w:rsid w:val="57BD749C"/>
    <w:rsid w:val="5A013078"/>
    <w:rsid w:val="60CD68F6"/>
    <w:rsid w:val="62B0129B"/>
    <w:rsid w:val="63726300"/>
    <w:rsid w:val="65AA128C"/>
    <w:rsid w:val="675F17B7"/>
    <w:rsid w:val="6D254ACA"/>
    <w:rsid w:val="6E6C29BD"/>
    <w:rsid w:val="6FE72D0D"/>
    <w:rsid w:val="774C0CA0"/>
    <w:rsid w:val="7C347235"/>
    <w:rsid w:val="7CD43E31"/>
    <w:rsid w:val="7ED350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sz w:val="32"/>
      <w:szCs w:val="32"/>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style>
  <w:style w:type="character" w:customStyle="1" w:styleId="9">
    <w:name w:val="页眉 Char"/>
    <w:basedOn w:val="8"/>
    <w:link w:val="5"/>
    <w:qFormat/>
    <w:uiPriority w:val="0"/>
    <w:rPr>
      <w:rFonts w:ascii="宋体" w:hAnsi="宋体" w:cs="宋体"/>
      <w:sz w:val="18"/>
      <w:szCs w:val="18"/>
    </w:rPr>
  </w:style>
  <w:style w:type="character" w:customStyle="1" w:styleId="10">
    <w:name w:val="页脚 Char"/>
    <w:basedOn w:val="8"/>
    <w:link w:val="4"/>
    <w:qFormat/>
    <w:uiPriority w:val="0"/>
    <w:rPr>
      <w:rFonts w:ascii="宋体" w:hAnsi="宋体" w:cs="宋体"/>
      <w:sz w:val="18"/>
      <w:szCs w:val="18"/>
    </w:rPr>
  </w:style>
  <w:style w:type="paragraph" w:customStyle="1" w:styleId="11">
    <w:name w:val="p17"/>
    <w:basedOn w:val="1"/>
    <w:qFormat/>
    <w:uiPriority w:val="0"/>
    <w:pPr>
      <w:spacing w:before="100" w:after="100"/>
    </w:pPr>
    <w:rPr>
      <w:rFonts w:eastAsia="宋体"/>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159</Words>
  <Characters>909</Characters>
  <Lines>7</Lines>
  <Paragraphs>2</Paragraphs>
  <TotalTime>7</TotalTime>
  <ScaleCrop>false</ScaleCrop>
  <LinksUpToDate>false</LinksUpToDate>
  <CharactersWithSpaces>1066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2018-11-22T03:24:00Z</dcterms:created>
  <dc:creator>紫雨</dc:creator>
  <cp:lastModifiedBy>think</cp:lastModifiedBy>
  <cp:lastPrinted>2019-12-09T05:23:00Z</cp:lastPrinted>
  <dcterms:modified xsi:type="dcterms:W3CDTF">2019-12-09T06:33:56Z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