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湟源县民政局</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关于政府信息公开工作年度报告</w:t>
      </w:r>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政府信息公开是《中华人民共和国政府信息公开条例》确定的法定监督保障制度，是加强政府信息管理，摸清政府信息底数的重要举措，对改进政府信息公开工作、</w:t>
      </w:r>
      <w:bookmarkStart w:id="0" w:name="_GoBack"/>
      <w:bookmarkEnd w:id="0"/>
      <w:r>
        <w:rPr>
          <w:rFonts w:hint="eastAsia" w:ascii="仿宋_GB2312" w:hAnsi="仿宋_GB2312" w:eastAsia="仿宋_GB2312" w:cs="仿宋_GB2312"/>
          <w:sz w:val="32"/>
          <w:szCs w:val="32"/>
        </w:rPr>
        <w:t>加强政府自身建设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推动国家治理体系和治理能力现代化，建设法治政府具有重要意义，《中华人民共和国政府信息公开条例》实施以来，我局严格遵照执行，现将一年工作情况报告如下：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深入贯彻落实《中华人民共和国政府信息公开条例》（以下简称条例）制度，将民政局政府信息公开作为建设阳光政府、服务型政府的一项基本制度，深入推进政府信息公开工作，信息公开的范围进一步扩大，涵盖了民政工作的方方面面；进一步扩展信息公开载体，把民政工作放在阳光下运行，利用社会监督力量，促进民政工作朝着科学高效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（一）加强领导，健全组织。</w:t>
      </w:r>
      <w:r>
        <w:rPr>
          <w:rFonts w:hint="eastAsia" w:ascii="仿宋_GB2312" w:hAnsi="仿宋_GB2312" w:eastAsia="仿宋_GB2312" w:cs="仿宋_GB2312"/>
          <w:sz w:val="32"/>
          <w:szCs w:val="32"/>
          <w:lang w:val="en-US" w:eastAsia="zh-CN"/>
        </w:rPr>
        <w:t>我局班子成员高度重视信息公开工作，紧密结合民政工作实际和文件精神，落实部署相关工作。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进一步完善领导小组，明确具体指导、协调和组织实施政务公开工作，促进政务公开工作顺利开展。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落实政务公开管理责任制，做到了主要领导亲自抓、业务科室及负责人具体抓，继续保持民政系统政务公开工作一级抓一级、层层抓落实的良好局面。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（二）完善机制，加强监督。</w:t>
      </w:r>
      <w:r>
        <w:rPr>
          <w:rFonts w:hint="eastAsia" w:ascii="仿宋_GB2312" w:hAnsi="仿宋_GB2312" w:eastAsia="仿宋_GB2312" w:cs="仿宋_GB2312"/>
          <w:sz w:val="32"/>
          <w:szCs w:val="32"/>
          <w:lang w:val="en-US" w:eastAsia="zh-CN"/>
        </w:rPr>
        <w:t>进一步完善湟源县民政信息公开工作的机制化和规范化建设，在县委领导下抓监管、促公开，保障政府政务公开工作有规可依，按章推进。对未按照《中华人民共和国政府信息公开条例》和《青海省人民政府办公厅关于做好2020年度政府信息公开工作年度报告编制发布有关事项的通知》规定要求开展政府信息公开工作的处室，予以督促整改。继续将政务公开评价指标纳入年度绩效考核，完善了信息公开的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（三）明确重点，夯实基础。</w:t>
      </w:r>
      <w:r>
        <w:rPr>
          <w:rFonts w:hint="eastAsia" w:ascii="仿宋_GB2312" w:hAnsi="仿宋_GB2312" w:eastAsia="仿宋_GB2312" w:cs="仿宋_GB2312"/>
          <w:sz w:val="32"/>
          <w:szCs w:val="32"/>
          <w:lang w:val="en-US" w:eastAsia="zh-CN"/>
        </w:rPr>
        <w:t>为了将政府信息公开制度深入落实到位，我局紧紧围绕群众关心的重点、疑点、难点进行了及时全面的公开。</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内容涵盖了最低生活保障服务、社团登记服务、民办非企业登记服务、殡葬管理服务、收养登记服务等民政工作方方面面。</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健全了信息公开申请登记、审核、办理、答复、归档等各项内部工作制度，避免年底突击开展工作，让政务公开工作落到平时、落到实处，切切实实发挥政府信息公开制度对民政工作的规范监督作用。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（四）主动公开，全面覆盖。</w:t>
      </w:r>
      <w:r>
        <w:rPr>
          <w:rFonts w:hint="eastAsia" w:ascii="仿宋_GB2312" w:hAnsi="仿宋_GB2312" w:eastAsia="仿宋_GB2312" w:cs="仿宋_GB2312"/>
          <w:sz w:val="32"/>
          <w:szCs w:val="32"/>
          <w:lang w:val="en-US" w:eastAsia="zh-CN"/>
        </w:rPr>
        <w:t>我局按照县政府政务公开工作要求，依托湟源县政府门户网站和局政务公开栏进行政务主动公开，不断细化具体数据，提升政务工作透明度，提高公开水平。全年主动公开政府信息项目共计90余条，主要涵盖了：（一）重大建设项目的批准和实施情况公开。由社会福利岗对农村老年之家及综合服务中心修建项目招标公告、民办养老服务、社区购买便民服务、社会兜底等项目进行公开公示；（二）承办“权责清单”和“服务事项清单”的动态调整。由综合办公岗对行政服务中心依法公开的权责清单及服务清单进行公开公示；（三）行政许可的事项、依据、条件、数量、程序、期限以及申请行政许可需要提交的全部材料、目录及办理程序流程按要求公开；（四）扶贫开发、社会保障、促进就业等方面的政策、措施及其实施情况。主要推进社会救助信息公开，由低收入家庭经济状况核对中心、社会救助岗和社会福利岗对城乡最低生活保障对象、临时救助资金发放、特困供养人员供养金发放、孤儿及困境儿童生活补贴发放、重残一二级生活护理补贴等情况进行公开公示8次30余条；（五）其他需公开的内容。由财务管理岗就湟源县民政局2020年部门预算以及三公经费等进行公开公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主动公开政府信息情况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eastAsia="zh-CN"/>
        </w:rPr>
      </w:pPr>
    </w:p>
    <w:tbl>
      <w:tblPr>
        <w:tblStyle w:val="4"/>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187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制作数量</w:t>
            </w:r>
          </w:p>
        </w:tc>
        <w:tc>
          <w:tcPr>
            <w:tcW w:w="127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公开数量</w:t>
            </w:r>
          </w:p>
        </w:tc>
        <w:tc>
          <w:tcPr>
            <w:tcW w:w="18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规章</w:t>
            </w:r>
          </w:p>
        </w:tc>
        <w:tc>
          <w:tcPr>
            <w:tcW w:w="187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27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18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规范性文件</w:t>
            </w:r>
          </w:p>
        </w:tc>
        <w:tc>
          <w:tcPr>
            <w:tcW w:w="187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27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18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187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本年增/减</w:t>
            </w:r>
          </w:p>
        </w:tc>
        <w:tc>
          <w:tcPr>
            <w:tcW w:w="18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行政许可</w:t>
            </w:r>
          </w:p>
        </w:tc>
        <w:tc>
          <w:tcPr>
            <w:tcW w:w="1881"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w:t>
            </w:r>
          </w:p>
        </w:tc>
        <w:tc>
          <w:tcPr>
            <w:tcW w:w="126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18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w:t>
            </w:r>
          </w:p>
        </w:tc>
      </w:tr>
      <w:tr>
        <w:tblPrEx>
          <w:tblCellMar>
            <w:top w:w="0" w:type="dxa"/>
            <w:left w:w="0" w:type="dxa"/>
            <w:bottom w:w="0" w:type="dxa"/>
            <w:right w:w="0" w:type="dxa"/>
          </w:tblCellMar>
        </w:tblPrEx>
        <w:trPr>
          <w:trHeight w:val="550" w:hRule="atLeast"/>
          <w:jc w:val="center"/>
        </w:trPr>
        <w:tc>
          <w:tcPr>
            <w:tcW w:w="311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其他对外管理服务事项</w:t>
            </w:r>
          </w:p>
        </w:tc>
        <w:tc>
          <w:tcPr>
            <w:tcW w:w="1881"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31</w:t>
            </w:r>
          </w:p>
        </w:tc>
        <w:tc>
          <w:tcPr>
            <w:tcW w:w="126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w:t>
            </w:r>
          </w:p>
        </w:tc>
        <w:tc>
          <w:tcPr>
            <w:tcW w:w="18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52</w:t>
            </w:r>
          </w:p>
        </w:tc>
      </w:tr>
      <w:tr>
        <w:tblPrEx>
          <w:tblCellMar>
            <w:top w:w="0" w:type="dxa"/>
            <w:left w:w="0" w:type="dxa"/>
            <w:bottom w:w="0" w:type="dxa"/>
            <w:right w:w="0" w:type="dxa"/>
          </w:tblCellMar>
        </w:tblPrEx>
        <w:trPr>
          <w:trHeight w:val="406"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187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本年增/减</w:t>
            </w:r>
          </w:p>
        </w:tc>
        <w:tc>
          <w:tcPr>
            <w:tcW w:w="18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行政处罚</w:t>
            </w:r>
          </w:p>
        </w:tc>
        <w:tc>
          <w:tcPr>
            <w:tcW w:w="1881"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34</w:t>
            </w:r>
          </w:p>
        </w:tc>
        <w:tc>
          <w:tcPr>
            <w:tcW w:w="126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行政强制</w:t>
            </w:r>
          </w:p>
        </w:tc>
        <w:tc>
          <w:tcPr>
            <w:tcW w:w="1881"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w:t>
            </w:r>
          </w:p>
        </w:tc>
        <w:tc>
          <w:tcPr>
            <w:tcW w:w="126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18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r>
      <w:tr>
        <w:tblPrEx>
          <w:tblCellMar>
            <w:top w:w="0" w:type="dxa"/>
            <w:left w:w="0" w:type="dxa"/>
            <w:bottom w:w="0" w:type="dxa"/>
            <w:right w:w="0" w:type="dxa"/>
          </w:tblCellMar>
        </w:tblPrEx>
        <w:trPr>
          <w:trHeight w:val="474"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1881"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上一年项目数量</w:t>
            </w:r>
          </w:p>
        </w:tc>
        <w:tc>
          <w:tcPr>
            <w:tcW w:w="3146"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行政事业性收费</w:t>
            </w:r>
          </w:p>
        </w:tc>
        <w:tc>
          <w:tcPr>
            <w:tcW w:w="1881"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w:t>
            </w:r>
          </w:p>
        </w:tc>
        <w:tc>
          <w:tcPr>
            <w:tcW w:w="3146"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1881"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采购项目数量</w:t>
            </w:r>
          </w:p>
        </w:tc>
        <w:tc>
          <w:tcPr>
            <w:tcW w:w="3146"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政府集中采购</w:t>
            </w:r>
          </w:p>
        </w:tc>
        <w:tc>
          <w:tcPr>
            <w:tcW w:w="1881"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15</w:t>
            </w:r>
          </w:p>
        </w:tc>
        <w:tc>
          <w:tcPr>
            <w:tcW w:w="3146"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1357.95万元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收到和处理政府信息公开申请情况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eastAsia="zh-CN"/>
        </w:rPr>
      </w:pPr>
    </w:p>
    <w:tbl>
      <w:tblPr>
        <w:tblStyle w:val="4"/>
        <w:tblW w:w="81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16"/>
        <w:gridCol w:w="816"/>
        <w:gridCol w:w="1823"/>
        <w:gridCol w:w="717"/>
        <w:gridCol w:w="667"/>
        <w:gridCol w:w="667"/>
        <w:gridCol w:w="717"/>
        <w:gridCol w:w="855"/>
        <w:gridCol w:w="629"/>
        <w:gridCol w:w="6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7" w:hRule="atLeast"/>
          <w:jc w:val="center"/>
        </w:trPr>
        <w:tc>
          <w:tcPr>
            <w:tcW w:w="3255" w:type="dxa"/>
            <w:gridSpan w:val="3"/>
            <w:vMerge w:val="restart"/>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（本列数据的勾稽关系为：第一项加第二项之和，等于第三项加第四项之和）</w:t>
            </w:r>
          </w:p>
        </w:tc>
        <w:tc>
          <w:tcPr>
            <w:tcW w:w="4868" w:type="dxa"/>
            <w:gridSpan w:val="7"/>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3255" w:type="dxa"/>
            <w:gridSpan w:val="3"/>
            <w:vMerge w:val="continue"/>
            <w:tcBorders>
              <w:tl2br w:val="nil"/>
              <w:tr2bl w:val="nil"/>
            </w:tcBorders>
            <w:noWrap w:val="0"/>
            <w:vAlign w:val="center"/>
          </w:tcPr>
          <w:p>
            <w:pPr>
              <w:widowControl/>
              <w:jc w:val="left"/>
              <w:rPr>
                <w:rFonts w:ascii="宋体" w:hAnsi="宋体" w:cs="宋体"/>
                <w:kern w:val="0"/>
                <w:sz w:val="24"/>
                <w:szCs w:val="24"/>
              </w:rPr>
            </w:pPr>
          </w:p>
        </w:tc>
        <w:tc>
          <w:tcPr>
            <w:tcW w:w="717" w:type="dxa"/>
            <w:vMerge w:val="restart"/>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自然人</w:t>
            </w:r>
          </w:p>
        </w:tc>
        <w:tc>
          <w:tcPr>
            <w:tcW w:w="3535" w:type="dxa"/>
            <w:gridSpan w:val="5"/>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法人或其他组织</w:t>
            </w:r>
          </w:p>
        </w:tc>
        <w:tc>
          <w:tcPr>
            <w:tcW w:w="616" w:type="dxa"/>
            <w:vMerge w:val="restart"/>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3255" w:type="dxa"/>
            <w:gridSpan w:val="3"/>
            <w:vMerge w:val="continue"/>
            <w:tcBorders>
              <w:tl2br w:val="nil"/>
              <w:tr2bl w:val="nil"/>
            </w:tcBorders>
            <w:noWrap w:val="0"/>
            <w:vAlign w:val="center"/>
          </w:tcPr>
          <w:p>
            <w:pPr>
              <w:widowControl/>
              <w:jc w:val="left"/>
              <w:rPr>
                <w:rFonts w:ascii="宋体" w:hAnsi="宋体" w:cs="宋体"/>
                <w:kern w:val="0"/>
                <w:sz w:val="24"/>
                <w:szCs w:val="24"/>
              </w:rPr>
            </w:pPr>
          </w:p>
        </w:tc>
        <w:tc>
          <w:tcPr>
            <w:tcW w:w="717" w:type="dxa"/>
            <w:vMerge w:val="continue"/>
            <w:tcBorders>
              <w:tl2br w:val="nil"/>
              <w:tr2bl w:val="nil"/>
            </w:tcBorders>
            <w:noWrap w:val="0"/>
            <w:vAlign w:val="center"/>
          </w:tcPr>
          <w:p>
            <w:pPr>
              <w:widowControl/>
              <w:jc w:val="left"/>
              <w:rPr>
                <w:rFonts w:ascii="宋体" w:hAnsi="宋体" w:cs="宋体"/>
                <w:kern w:val="0"/>
                <w:sz w:val="24"/>
                <w:szCs w:val="24"/>
              </w:rPr>
            </w:pP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商业企业</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科研机构</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社会公益组织</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法律服务机构</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其他</w:t>
            </w: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7" w:hRule="atLeast"/>
          <w:jc w:val="center"/>
        </w:trPr>
        <w:tc>
          <w:tcPr>
            <w:tcW w:w="3255" w:type="dxa"/>
            <w:gridSpan w:val="3"/>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一、本年新收政府信息公开申请数量</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7" w:hRule="atLeast"/>
          <w:jc w:val="center"/>
        </w:trPr>
        <w:tc>
          <w:tcPr>
            <w:tcW w:w="3255" w:type="dxa"/>
            <w:gridSpan w:val="3"/>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二、上年结转政府信息公开申请数量</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7" w:hRule="atLeast"/>
          <w:jc w:val="center"/>
        </w:trPr>
        <w:tc>
          <w:tcPr>
            <w:tcW w:w="616" w:type="dxa"/>
            <w:vMerge w:val="restart"/>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三、本年度办理结果</w:t>
            </w:r>
          </w:p>
        </w:tc>
        <w:tc>
          <w:tcPr>
            <w:tcW w:w="2639" w:type="dxa"/>
            <w:gridSpan w:val="2"/>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（一）予以公开</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2639" w:type="dxa"/>
            <w:gridSpan w:val="2"/>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816" w:type="dxa"/>
            <w:vMerge w:val="restart"/>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（三）不予公开</w:t>
            </w: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1.属于国家秘密</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2.其他法律行政法规禁止公开</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3.危及“三安全一稳定”</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4.保护第三方合法权益</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5.属于三类内部事务信息</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6.属于四类过程性信息</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7.属于行政执法案卷</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8.属于行政查询事项</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816" w:type="dxa"/>
            <w:vMerge w:val="restart"/>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（四）无法提供</w:t>
            </w: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1.本机关不掌握相关政府信息</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2.没有现成信息需要另行制作</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3.补正后申请内容仍不明确</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816" w:type="dxa"/>
            <w:vMerge w:val="restart"/>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（五）不予处理</w:t>
            </w: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1.信访举报投诉类申请</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2.重复申请</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3.要求提供公开出版物</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4.无正当理由大量反复申请</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1823" w:type="dxa"/>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5.要求行政机关确认或重新出具已获取信息</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2639" w:type="dxa"/>
            <w:gridSpan w:val="2"/>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（六）其他处理</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 w:hRule="atLeast"/>
          <w:jc w:val="center"/>
        </w:trPr>
        <w:tc>
          <w:tcPr>
            <w:tcW w:w="0" w:type="auto"/>
            <w:vMerge w:val="continue"/>
            <w:tcBorders>
              <w:tl2br w:val="nil"/>
              <w:tr2bl w:val="nil"/>
            </w:tcBorders>
            <w:noWrap w:val="0"/>
            <w:vAlign w:val="center"/>
          </w:tcPr>
          <w:p>
            <w:pPr>
              <w:widowControl/>
              <w:jc w:val="left"/>
              <w:rPr>
                <w:rFonts w:ascii="宋体" w:hAnsi="宋体" w:cs="宋体"/>
                <w:kern w:val="0"/>
                <w:sz w:val="24"/>
                <w:szCs w:val="24"/>
              </w:rPr>
            </w:pPr>
          </w:p>
        </w:tc>
        <w:tc>
          <w:tcPr>
            <w:tcW w:w="2639" w:type="dxa"/>
            <w:gridSpan w:val="2"/>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（七）总计</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7" w:hRule="atLeast"/>
          <w:jc w:val="center"/>
        </w:trPr>
        <w:tc>
          <w:tcPr>
            <w:tcW w:w="3255" w:type="dxa"/>
            <w:gridSpan w:val="3"/>
            <w:tcBorders>
              <w:tl2br w:val="nil"/>
              <w:tr2bl w:val="nil"/>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四、结转下年度继续办理</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6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717"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855"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29" w:type="dxa"/>
            <w:tcBorders>
              <w:tl2br w:val="nil"/>
              <w:tr2bl w:val="nil"/>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616" w:type="dxa"/>
            <w:tcBorders>
              <w:tl2br w:val="nil"/>
              <w:tr2bl w:val="nil"/>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四、政</w:t>
      </w:r>
      <w:r>
        <w:rPr>
          <w:rFonts w:hint="eastAsia" w:ascii="黑体" w:hAnsi="黑体" w:eastAsia="黑体" w:cs="黑体"/>
          <w:sz w:val="32"/>
          <w:szCs w:val="32"/>
          <w:lang w:eastAsia="zh-CN"/>
        </w:rPr>
        <w:t>府信息公开行政复议、行政诉讼情况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eastAsia="zh-CN"/>
        </w:rPr>
      </w:pPr>
    </w:p>
    <w:tbl>
      <w:tblPr>
        <w:tblStyle w:val="4"/>
        <w:tblW w:w="7743" w:type="dxa"/>
        <w:jc w:val="center"/>
        <w:tblLayout w:type="autofit"/>
        <w:tblCellMar>
          <w:top w:w="0" w:type="dxa"/>
          <w:left w:w="0" w:type="dxa"/>
          <w:bottom w:w="0" w:type="dxa"/>
          <w:right w:w="0" w:type="dxa"/>
        </w:tblCellMar>
      </w:tblPr>
      <w:tblGrid>
        <w:gridCol w:w="515"/>
        <w:gridCol w:w="515"/>
        <w:gridCol w:w="515"/>
        <w:gridCol w:w="515"/>
        <w:gridCol w:w="564"/>
        <w:gridCol w:w="469"/>
        <w:gridCol w:w="516"/>
        <w:gridCol w:w="516"/>
        <w:gridCol w:w="516"/>
        <w:gridCol w:w="519"/>
        <w:gridCol w:w="516"/>
        <w:gridCol w:w="516"/>
        <w:gridCol w:w="516"/>
        <w:gridCol w:w="517"/>
        <w:gridCol w:w="518"/>
      </w:tblGrid>
      <w:tr>
        <w:tblPrEx>
          <w:tblCellMar>
            <w:top w:w="0" w:type="dxa"/>
            <w:left w:w="0" w:type="dxa"/>
            <w:bottom w:w="0" w:type="dxa"/>
            <w:right w:w="0" w:type="dxa"/>
          </w:tblCellMar>
        </w:tblPrEx>
        <w:trPr>
          <w:trHeight w:val="273" w:hRule="atLeast"/>
          <w:jc w:val="center"/>
        </w:trPr>
        <w:tc>
          <w:tcPr>
            <w:tcW w:w="262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行政复议</w:t>
            </w:r>
          </w:p>
        </w:tc>
        <w:tc>
          <w:tcPr>
            <w:tcW w:w="5119"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trHeight w:val="283" w:hRule="atLeast"/>
          <w:jc w:val="center"/>
        </w:trPr>
        <w:tc>
          <w:tcPr>
            <w:tcW w:w="51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结果维持</w:t>
            </w:r>
          </w:p>
        </w:tc>
        <w:tc>
          <w:tcPr>
            <w:tcW w:w="51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结果纠正</w:t>
            </w:r>
          </w:p>
        </w:tc>
        <w:tc>
          <w:tcPr>
            <w:tcW w:w="51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其他结果</w:t>
            </w:r>
          </w:p>
        </w:tc>
        <w:tc>
          <w:tcPr>
            <w:tcW w:w="51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尚未审结</w:t>
            </w:r>
          </w:p>
        </w:tc>
        <w:tc>
          <w:tcPr>
            <w:tcW w:w="563"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总计</w:t>
            </w:r>
          </w:p>
        </w:tc>
        <w:tc>
          <w:tcPr>
            <w:tcW w:w="2536"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未经复议直接起诉</w:t>
            </w:r>
          </w:p>
        </w:tc>
        <w:tc>
          <w:tcPr>
            <w:tcW w:w="258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trHeight w:val="13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4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结果维持</w:t>
            </w:r>
          </w:p>
        </w:tc>
        <w:tc>
          <w:tcPr>
            <w:tcW w:w="5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结果纠正</w:t>
            </w:r>
          </w:p>
        </w:tc>
        <w:tc>
          <w:tcPr>
            <w:tcW w:w="5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其他结果</w:t>
            </w:r>
          </w:p>
        </w:tc>
        <w:tc>
          <w:tcPr>
            <w:tcW w:w="5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尚未审结</w:t>
            </w:r>
          </w:p>
        </w:tc>
        <w:tc>
          <w:tcPr>
            <w:tcW w:w="5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总计</w:t>
            </w:r>
          </w:p>
        </w:tc>
        <w:tc>
          <w:tcPr>
            <w:tcW w:w="5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结果维持</w:t>
            </w:r>
          </w:p>
        </w:tc>
        <w:tc>
          <w:tcPr>
            <w:tcW w:w="5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结果纠正</w:t>
            </w:r>
          </w:p>
        </w:tc>
        <w:tc>
          <w:tcPr>
            <w:tcW w:w="5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其他结果</w:t>
            </w:r>
          </w:p>
        </w:tc>
        <w:tc>
          <w:tcPr>
            <w:tcW w:w="5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尚未审结</w:t>
            </w:r>
          </w:p>
        </w:tc>
        <w:tc>
          <w:tcPr>
            <w:tcW w:w="5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trHeight w:val="283" w:hRule="atLeast"/>
          <w:jc w:val="center"/>
        </w:trPr>
        <w:tc>
          <w:tcPr>
            <w:tcW w:w="5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5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5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5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w:t>
            </w:r>
          </w:p>
        </w:tc>
        <w:tc>
          <w:tcPr>
            <w:tcW w:w="5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4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p>
        </w:tc>
        <w:tc>
          <w:tcPr>
            <w:tcW w:w="5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p>
        </w:tc>
        <w:tc>
          <w:tcPr>
            <w:tcW w:w="5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p>
        </w:tc>
        <w:tc>
          <w:tcPr>
            <w:tcW w:w="5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p>
        </w:tc>
        <w:tc>
          <w:tcPr>
            <w:tcW w:w="5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 </w:t>
            </w:r>
          </w:p>
        </w:tc>
        <w:tc>
          <w:tcPr>
            <w:tcW w:w="5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p>
        </w:tc>
        <w:tc>
          <w:tcPr>
            <w:tcW w:w="5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p>
        </w:tc>
        <w:tc>
          <w:tcPr>
            <w:tcW w:w="5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 </w:t>
            </w:r>
          </w:p>
        </w:tc>
        <w:tc>
          <w:tcPr>
            <w:tcW w:w="5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 </w:t>
            </w:r>
          </w:p>
        </w:tc>
        <w:tc>
          <w:tcPr>
            <w:tcW w:w="5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（一）存在主要问题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随着政府信息公开工作的不断深入推进，我们感到工作中存在着一些不足：一是信息公开的内容有待进一步完善；二是政务信息公开工作还需进一步规范。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（二）整改措施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一是加大政府信息公开力度，按照政务公开制度要求，加大公开力度，重点做好重点事项公开工作；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二是进一步推进政务信息公开工作，使其政务信息公开工作常态化，制度化；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统一认识，努力规范工作流程。我单位将按照“公开为原则，不公开为例外”的总体要求，进一步梳理局机关以及下属单位具有依法行使行政职权的单位所掌握的政府信息，对原有的政府信息公开目录进行补充完善，保证公开信息的完整性和准确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湟源县民政局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2021年1月19日        </w:t>
      </w:r>
    </w:p>
    <w:sectPr>
      <w:footerReference r:id="rId3" w:type="default"/>
      <w:pgSz w:w="11906" w:h="16838"/>
      <w:pgMar w:top="2098" w:right="1474" w:bottom="1984" w:left="1587" w:header="567"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67C4A"/>
    <w:multiLevelType w:val="singleLevel"/>
    <w:tmpl w:val="34B67C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B00CB"/>
    <w:rsid w:val="07563B14"/>
    <w:rsid w:val="08CD7252"/>
    <w:rsid w:val="0BF712E0"/>
    <w:rsid w:val="0F1A4069"/>
    <w:rsid w:val="15FC7581"/>
    <w:rsid w:val="198056BB"/>
    <w:rsid w:val="27610DA3"/>
    <w:rsid w:val="281514E4"/>
    <w:rsid w:val="35FE5964"/>
    <w:rsid w:val="48DD400F"/>
    <w:rsid w:val="544B7E36"/>
    <w:rsid w:val="5EF31188"/>
    <w:rsid w:val="601D7BEB"/>
    <w:rsid w:val="6F091B23"/>
    <w:rsid w:val="71116D2A"/>
    <w:rsid w:val="790A4C08"/>
    <w:rsid w:val="7C93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3357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cp:lastPrinted>2021-01-19T00:37:00Z</cp:lastPrinted>
  <dcterms:modified xsi:type="dcterms:W3CDTF">2021-01-22T10:09:22Z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