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3"/>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3"/>
              <w:jc w:val="center"/>
              <w:rPr>
                <w:rFonts w:ascii="Cambria" w:hAnsi="Cambria"/>
                <w:b/>
                <w:sz w:val="80"/>
                <w:szCs w:val="80"/>
              </w:rPr>
            </w:pPr>
            <w:r>
              <w:rPr>
                <w:rFonts w:hint="eastAsia" w:ascii="Cambria" w:hAnsi="Cambria"/>
                <w:b/>
                <w:sz w:val="80"/>
                <w:szCs w:val="80"/>
                <w:lang w:val="en-US" w:eastAsia="zh-CN"/>
              </w:rPr>
              <w:t>湟源县巴燕乡卫生院</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3"/>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3"/>
              <w:jc w:val="center"/>
            </w:pPr>
          </w:p>
        </w:tc>
      </w:tr>
    </w:tbl>
    <w:p/>
    <w:tbl>
      <w:tblPr>
        <w:tblStyle w:val="6"/>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c>
          <w:tcPr>
            <w:tcW w:w="5000" w:type="pct"/>
            <w:noWrap w:val="0"/>
            <w:vAlign w:val="top"/>
          </w:tcPr>
          <w:p>
            <w:pPr>
              <w:pStyle w:val="13"/>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ind w:firstLine="640" w:firstLineChars="200"/>
        <w:rPr>
          <w:rFonts w:hint="eastAsia" w:ascii="仿宋_GB2312" w:hAnsi="Times New Roman" w:eastAsia="仿宋_GB2312" w:cs="仿宋"/>
          <w:sz w:val="32"/>
          <w:szCs w:val="32"/>
          <w:lang w:eastAsia="zh-CN"/>
        </w:rPr>
      </w:pPr>
      <w:r>
        <w:rPr>
          <w:rFonts w:hint="eastAsia" w:ascii="仿宋_GB2312" w:hAnsi="Times New Roman" w:eastAsia="仿宋_GB2312" w:cs="仿宋"/>
          <w:sz w:val="32"/>
          <w:szCs w:val="32"/>
          <w:lang w:eastAsia="zh-CN"/>
        </w:rPr>
        <w:t>本单位主要从事1、医疗与护理。2、医学教学。3、卫生医疗人员培训。4、卫生技术人员继续教育。5、保健与健康教育。服务宗旨是为人民身体健康提供医疗与护理保健服务。</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ind w:firstLine="640" w:firstLineChars="200"/>
        <w:rPr>
          <w:rFonts w:hint="eastAsia" w:ascii="仿宋_GB2312" w:hAnsi="Times New Roman" w:eastAsia="仿宋_GB2312" w:cs="仿宋"/>
          <w:sz w:val="32"/>
          <w:szCs w:val="32"/>
          <w:lang w:eastAsia="zh-CN"/>
        </w:rPr>
      </w:pPr>
      <w:r>
        <w:rPr>
          <w:rFonts w:hint="eastAsia" w:ascii="仿宋_GB2312" w:hAnsi="Times New Roman" w:eastAsia="仿宋_GB2312" w:cs="仿宋"/>
          <w:sz w:val="32"/>
          <w:szCs w:val="32"/>
          <w:lang w:eastAsia="zh-CN"/>
        </w:rPr>
        <w:t>纳入202</w:t>
      </w:r>
      <w:r>
        <w:rPr>
          <w:rFonts w:hint="eastAsia" w:ascii="仿宋_GB2312" w:hAnsi="Times New Roman" w:eastAsia="仿宋_GB2312" w:cs="仿宋"/>
          <w:sz w:val="32"/>
          <w:szCs w:val="32"/>
          <w:lang w:val="en-US" w:eastAsia="zh-CN"/>
        </w:rPr>
        <w:t>3</w:t>
      </w:r>
      <w:r>
        <w:rPr>
          <w:rFonts w:hint="eastAsia" w:ascii="仿宋_GB2312" w:hAnsi="Times New Roman" w:eastAsia="仿宋_GB2312" w:cs="仿宋"/>
          <w:sz w:val="32"/>
          <w:szCs w:val="32"/>
          <w:lang w:eastAsia="zh-CN"/>
        </w:rPr>
        <w:t>年度</w:t>
      </w:r>
      <w:r>
        <w:rPr>
          <w:rFonts w:hint="eastAsia" w:ascii="仿宋_GB2312" w:eastAsia="仿宋_GB2312" w:cs="仿宋"/>
          <w:sz w:val="32"/>
          <w:szCs w:val="32"/>
          <w:highlight w:val="none"/>
          <w:lang w:val="en-US" w:eastAsia="zh-CN"/>
        </w:rPr>
        <w:t>预</w:t>
      </w:r>
      <w:r>
        <w:rPr>
          <w:rFonts w:hint="eastAsia" w:ascii="仿宋_GB2312" w:hAnsi="Times New Roman" w:eastAsia="仿宋_GB2312" w:cs="仿宋"/>
          <w:sz w:val="32"/>
          <w:szCs w:val="32"/>
          <w:lang w:eastAsia="zh-CN"/>
        </w:rPr>
        <w:t>算编制范围的预算单位共计1个，具体为：湟源县巴燕乡卫生院。我单位内设机构7个，具体为：现设置有：全科、内科、外科、妇科、中医科、儿科、针灸科等科室。配备B超、彩超、心电图、多普勒胎心仪、自动</w:t>
      </w:r>
      <w:bookmarkStart w:id="6" w:name="_GoBack"/>
      <w:bookmarkEnd w:id="6"/>
      <w:r>
        <w:rPr>
          <w:rFonts w:hint="eastAsia" w:ascii="仿宋_GB2312" w:hAnsi="Times New Roman" w:eastAsia="仿宋_GB2312" w:cs="仿宋"/>
          <w:sz w:val="32"/>
          <w:szCs w:val="32"/>
          <w:lang w:eastAsia="zh-CN"/>
        </w:rPr>
        <w:t>制氧机、尿十项分析仪、血球分析仪、全自动生化分析仪、洗胃机、综合产床、X光机等设备,具有较强的综合诊治疾病的能力。</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三</w:t>
      </w:r>
      <w:r>
        <w:rPr>
          <w:rFonts w:hint="eastAsia" w:ascii="黑体" w:hAnsi="宋体" w:eastAsia="黑体"/>
          <w:color w:val="000000"/>
          <w:sz w:val="32"/>
          <w:szCs w:val="32"/>
        </w:rPr>
        <w:t>、</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ind w:firstLine="640" w:firstLineChars="200"/>
        <w:rPr>
          <w:rFonts w:hint="eastAsia" w:ascii="仿宋_GB2312" w:hAnsi="Times New Roman" w:eastAsia="仿宋_GB2312" w:cs="仿宋"/>
          <w:sz w:val="32"/>
          <w:szCs w:val="32"/>
          <w:lang w:eastAsia="zh-CN"/>
        </w:rPr>
      </w:pPr>
      <w:r>
        <w:rPr>
          <w:rFonts w:hint="eastAsia" w:ascii="仿宋_GB2312" w:hAnsi="Times New Roman" w:eastAsia="仿宋_GB2312" w:cs="仿宋"/>
          <w:sz w:val="32"/>
          <w:szCs w:val="32"/>
          <w:lang w:eastAsia="zh-CN"/>
        </w:rPr>
        <w:t>纳入</w:t>
      </w:r>
      <w:r>
        <w:rPr>
          <w:rFonts w:hint="eastAsia" w:ascii="仿宋_GB2312" w:hAnsi="Times New Roman" w:eastAsia="仿宋_GB2312" w:cs="仿宋"/>
          <w:sz w:val="32"/>
          <w:szCs w:val="32"/>
          <w:lang w:val="en-US" w:eastAsia="zh-CN"/>
        </w:rPr>
        <w:t>湟源县巴燕乡卫生院</w:t>
      </w:r>
      <w:r>
        <w:rPr>
          <w:rFonts w:hint="eastAsia" w:ascii="仿宋_GB2312" w:hAnsi="Times New Roman" w:eastAsia="仿宋_GB2312" w:cs="仿宋"/>
          <w:sz w:val="32"/>
          <w:szCs w:val="32"/>
          <w:lang w:eastAsia="zh-CN"/>
        </w:rPr>
        <w:t>202</w:t>
      </w:r>
      <w:r>
        <w:rPr>
          <w:rFonts w:hint="eastAsia" w:ascii="仿宋_GB2312" w:hAnsi="Times New Roman" w:eastAsia="仿宋_GB2312" w:cs="仿宋"/>
          <w:sz w:val="32"/>
          <w:szCs w:val="32"/>
          <w:lang w:val="en-US" w:eastAsia="zh-CN"/>
        </w:rPr>
        <w:t>3</w:t>
      </w:r>
      <w:r>
        <w:rPr>
          <w:rFonts w:hint="eastAsia" w:ascii="仿宋_GB2312" w:hAnsi="Times New Roman" w:eastAsia="仿宋_GB2312" w:cs="仿宋"/>
          <w:sz w:val="32"/>
          <w:szCs w:val="32"/>
          <w:lang w:eastAsia="zh-CN"/>
        </w:rPr>
        <w:t>年部门预算编制范围的二级预算单位包括：</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40" w:type="dxa"/>
            <w:tcBorders>
              <w:top w:val="single" w:color="auto" w:sz="4" w:space="0"/>
              <w:left w:val="single" w:color="auto" w:sz="4" w:space="0"/>
              <w:bottom w:val="single" w:color="auto" w:sz="4" w:space="0"/>
              <w:right w:val="single" w:color="auto" w:sz="4" w:space="0"/>
            </w:tcBorders>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tcBorders>
              <w:top w:val="single" w:color="auto" w:sz="4" w:space="0"/>
              <w:left w:val="single" w:color="auto" w:sz="4" w:space="0"/>
              <w:bottom w:val="single" w:color="auto" w:sz="4" w:space="0"/>
              <w:right w:val="single" w:color="auto" w:sz="4" w:space="0"/>
            </w:tcBorders>
          </w:tcPr>
          <w:p>
            <w:pPr>
              <w:jc w:val="center"/>
              <w:rPr>
                <w:rFonts w:hint="eastAsia" w:ascii="仿宋_GB2312" w:eastAsia="仿宋_GB2312"/>
                <w:sz w:val="32"/>
                <w:szCs w:val="32"/>
              </w:rPr>
            </w:pPr>
            <w:r>
              <w:rPr>
                <w:rFonts w:hint="eastAsia" w:ascii="仿宋_GB2312" w:eastAsia="仿宋_GB2312"/>
                <w:sz w:val="32"/>
                <w:szCs w:val="32"/>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tcBorders>
              <w:top w:val="single" w:color="auto" w:sz="4" w:space="0"/>
              <w:left w:val="single" w:color="auto" w:sz="4" w:space="0"/>
              <w:bottom w:val="single" w:color="auto" w:sz="4" w:space="0"/>
              <w:right w:val="single" w:color="auto" w:sz="4" w:space="0"/>
            </w:tcBorders>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tcBorders>
              <w:top w:val="single" w:color="auto" w:sz="4" w:space="0"/>
              <w:left w:val="single" w:color="auto" w:sz="4" w:space="0"/>
              <w:bottom w:val="single" w:color="auto" w:sz="4" w:space="0"/>
              <w:right w:val="single" w:color="auto" w:sz="4" w:space="0"/>
            </w:tcBorders>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tc>
      </w:tr>
    </w:tbl>
    <w:p>
      <w:pPr>
        <w:rPr>
          <w:rFonts w:hint="eastAsia" w:ascii="仿宋_GB2312" w:eastAsia="仿宋_GB2312"/>
          <w:color w:val="000000"/>
          <w:sz w:val="30"/>
          <w:szCs w:val="30"/>
        </w:rPr>
      </w:pPr>
      <w:r>
        <w:rPr>
          <w:rFonts w:hint="eastAsia" w:ascii="仿宋_GB2312" w:eastAsia="仿宋_GB2312"/>
          <w:color w:val="000000"/>
          <w:sz w:val="30"/>
          <w:szCs w:val="30"/>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6"/>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299.80</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44.50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232.00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default" w:ascii="宋体" w:hAnsi="宋体" w:cs="宋体"/>
                <w:kern w:val="0"/>
                <w:sz w:val="18"/>
                <w:szCs w:val="18"/>
                <w:lang w:val="en-US"/>
              </w:rPr>
            </w:pPr>
            <w:r>
              <w:rPr>
                <w:rFonts w:hint="eastAsia" w:ascii="宋体" w:hAnsi="宋体" w:cs="宋体"/>
                <w:kern w:val="0"/>
                <w:sz w:val="18"/>
                <w:szCs w:val="18"/>
                <w:lang w:val="en-US" w:eastAsia="zh-CN"/>
              </w:rPr>
              <w:t>23.30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299.80</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299.80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299.80</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299.80</w:t>
            </w:r>
          </w:p>
        </w:tc>
      </w:tr>
    </w:tbl>
    <w:tbl>
      <w:tblPr>
        <w:tblStyle w:val="6"/>
        <w:tblpPr w:leftFromText="180" w:rightFromText="180" w:vertAnchor="text" w:horzAnchor="page" w:tblpXSpec="center" w:tblpY="618"/>
        <w:tblOverlap w:val="never"/>
        <w:tblW w:w="11663" w:type="dxa"/>
        <w:jc w:val="center"/>
        <w:tblLayout w:type="fixed"/>
        <w:tblCellMar>
          <w:top w:w="0" w:type="dxa"/>
          <w:left w:w="108" w:type="dxa"/>
          <w:bottom w:w="0" w:type="dxa"/>
          <w:right w:w="108" w:type="dxa"/>
        </w:tblCellMar>
      </w:tblPr>
      <w:tblGrid>
        <w:gridCol w:w="1100"/>
        <w:gridCol w:w="1083"/>
        <w:gridCol w:w="1083"/>
        <w:gridCol w:w="1084"/>
        <w:gridCol w:w="914"/>
        <w:gridCol w:w="914"/>
        <w:gridCol w:w="914"/>
        <w:gridCol w:w="914"/>
        <w:gridCol w:w="914"/>
        <w:gridCol w:w="914"/>
        <w:gridCol w:w="914"/>
        <w:gridCol w:w="915"/>
      </w:tblGrid>
      <w:tr>
        <w:tblPrEx>
          <w:tblCellMar>
            <w:top w:w="0" w:type="dxa"/>
            <w:left w:w="108" w:type="dxa"/>
            <w:bottom w:w="0" w:type="dxa"/>
            <w:right w:w="108" w:type="dxa"/>
          </w:tblCellMar>
        </w:tblPrEx>
        <w:trPr>
          <w:trHeight w:val="392" w:hRule="atLeast"/>
          <w:jc w:val="center"/>
        </w:trPr>
        <w:tc>
          <w:tcPr>
            <w:tcW w:w="11663"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663"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663"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299.80</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299.80</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湟源县卫生健康局</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299.80</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299.80</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湟源县巴燕乡卫生院</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299.80</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299.80</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1750" w:type="dxa"/>
        <w:jc w:val="center"/>
        <w:tblLayout w:type="fixed"/>
        <w:tblCellMar>
          <w:top w:w="0" w:type="dxa"/>
          <w:left w:w="108" w:type="dxa"/>
          <w:bottom w:w="0" w:type="dxa"/>
          <w:right w:w="108" w:type="dxa"/>
        </w:tblCellMar>
      </w:tblPr>
      <w:tblGrid>
        <w:gridCol w:w="1100"/>
        <w:gridCol w:w="3917"/>
        <w:gridCol w:w="1122"/>
        <w:gridCol w:w="1122"/>
        <w:gridCol w:w="1122"/>
        <w:gridCol w:w="1122"/>
        <w:gridCol w:w="1122"/>
        <w:gridCol w:w="1123"/>
      </w:tblGrid>
      <w:tr>
        <w:tblPrEx>
          <w:tblCellMar>
            <w:top w:w="0" w:type="dxa"/>
            <w:left w:w="108" w:type="dxa"/>
            <w:bottom w:w="0" w:type="dxa"/>
            <w:right w:w="108" w:type="dxa"/>
          </w:tblCellMar>
        </w:tblPrEx>
        <w:trPr>
          <w:trHeight w:val="187" w:hRule="atLeast"/>
          <w:jc w:val="center"/>
        </w:trPr>
        <w:tc>
          <w:tcPr>
            <w:tcW w:w="11750"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750"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750"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9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1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5017"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299.80</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299.80</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91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44.50</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44.50</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91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43.20</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43.20</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91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23.85</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23.85</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91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11.93</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11.93</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91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7.42</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7.42</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91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1.30</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1.30</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91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1.30</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1.30</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91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232.00</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232.00</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21003</w:t>
            </w:r>
          </w:p>
        </w:tc>
        <w:tc>
          <w:tcPr>
            <w:tcW w:w="391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基层医疗卫生机构</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208.71</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208.71</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2100302</w:t>
            </w:r>
          </w:p>
        </w:tc>
        <w:tc>
          <w:tcPr>
            <w:tcW w:w="391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乡镇卫生院</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208.71</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208.71</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91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23.28</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23.28</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91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11.73</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11.73</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91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11.55</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11.55</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91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23.31</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23.31</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91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23.31</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23.31</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91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23.31</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23.31</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6"/>
        <w:tblpPr w:leftFromText="180" w:rightFromText="180" w:vertAnchor="text" w:horzAnchor="page" w:tblpXSpec="center" w:tblpY="183"/>
        <w:tblOverlap w:val="never"/>
        <w:tblW w:w="9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2"/>
        <w:gridCol w:w="1192"/>
        <w:gridCol w:w="1675"/>
        <w:gridCol w:w="1242"/>
        <w:gridCol w:w="1216"/>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8"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58"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8"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154"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304"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192"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67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242"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216"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17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19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299.80</w:t>
            </w:r>
          </w:p>
        </w:tc>
        <w:tc>
          <w:tcPr>
            <w:tcW w:w="16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242"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299.80</w:t>
            </w:r>
          </w:p>
        </w:tc>
        <w:tc>
          <w:tcPr>
            <w:tcW w:w="121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299.80</w:t>
            </w: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19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299.80</w:t>
            </w:r>
          </w:p>
        </w:tc>
        <w:tc>
          <w:tcPr>
            <w:tcW w:w="16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24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192" w:type="dxa"/>
            <w:shd w:val="clear" w:color="auto" w:fill="FFFFFF"/>
            <w:noWrap/>
            <w:vAlign w:val="center"/>
          </w:tcPr>
          <w:p>
            <w:pPr>
              <w:widowControl/>
              <w:jc w:val="center"/>
              <w:rPr>
                <w:rFonts w:ascii="宋体" w:hAnsi="宋体" w:cs="宋体"/>
                <w:kern w:val="0"/>
                <w:sz w:val="20"/>
              </w:rPr>
            </w:pPr>
          </w:p>
        </w:tc>
        <w:tc>
          <w:tcPr>
            <w:tcW w:w="16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24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92" w:type="dxa"/>
            <w:shd w:val="clear" w:color="auto" w:fill="FFFFFF"/>
            <w:noWrap/>
            <w:vAlign w:val="center"/>
          </w:tcPr>
          <w:p>
            <w:pPr>
              <w:widowControl/>
              <w:jc w:val="center"/>
              <w:rPr>
                <w:rFonts w:ascii="宋体" w:hAnsi="宋体" w:cs="宋体"/>
                <w:kern w:val="0"/>
                <w:sz w:val="20"/>
              </w:rPr>
            </w:pPr>
          </w:p>
        </w:tc>
        <w:tc>
          <w:tcPr>
            <w:tcW w:w="16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24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92" w:type="dxa"/>
            <w:shd w:val="clear" w:color="auto" w:fill="FFFFFF"/>
            <w:noWrap/>
            <w:vAlign w:val="center"/>
          </w:tcPr>
          <w:p>
            <w:pPr>
              <w:widowControl/>
              <w:jc w:val="center"/>
              <w:rPr>
                <w:rFonts w:ascii="宋体" w:hAnsi="宋体" w:cs="宋体"/>
                <w:kern w:val="0"/>
                <w:sz w:val="20"/>
              </w:rPr>
            </w:pPr>
          </w:p>
        </w:tc>
        <w:tc>
          <w:tcPr>
            <w:tcW w:w="16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24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92" w:type="dxa"/>
            <w:shd w:val="clear" w:color="auto" w:fill="FFFFFF"/>
            <w:noWrap/>
            <w:vAlign w:val="center"/>
          </w:tcPr>
          <w:p>
            <w:pPr>
              <w:widowControl/>
              <w:jc w:val="center"/>
              <w:rPr>
                <w:rFonts w:ascii="宋体" w:hAnsi="宋体" w:cs="宋体"/>
                <w:kern w:val="0"/>
                <w:sz w:val="20"/>
              </w:rPr>
            </w:pPr>
          </w:p>
        </w:tc>
        <w:tc>
          <w:tcPr>
            <w:tcW w:w="16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24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92" w:type="dxa"/>
            <w:shd w:val="clear" w:color="auto" w:fill="FFFFFF"/>
            <w:noWrap/>
            <w:vAlign w:val="center"/>
          </w:tcPr>
          <w:p>
            <w:pPr>
              <w:widowControl/>
              <w:jc w:val="center"/>
              <w:rPr>
                <w:rFonts w:ascii="宋体" w:hAnsi="宋体" w:cs="宋体"/>
                <w:kern w:val="0"/>
                <w:sz w:val="20"/>
              </w:rPr>
            </w:pPr>
          </w:p>
        </w:tc>
        <w:tc>
          <w:tcPr>
            <w:tcW w:w="16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24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92" w:type="dxa"/>
            <w:shd w:val="clear" w:color="auto" w:fill="FFFFFF"/>
            <w:noWrap/>
            <w:vAlign w:val="center"/>
          </w:tcPr>
          <w:p>
            <w:pPr>
              <w:widowControl/>
              <w:jc w:val="center"/>
              <w:rPr>
                <w:rFonts w:ascii="宋体" w:hAnsi="宋体" w:cs="宋体"/>
                <w:kern w:val="0"/>
                <w:sz w:val="20"/>
              </w:rPr>
            </w:pPr>
          </w:p>
        </w:tc>
        <w:tc>
          <w:tcPr>
            <w:tcW w:w="16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24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92" w:type="dxa"/>
            <w:shd w:val="clear" w:color="auto" w:fill="FFFFFF"/>
            <w:noWrap/>
            <w:vAlign w:val="center"/>
          </w:tcPr>
          <w:p>
            <w:pPr>
              <w:widowControl/>
              <w:jc w:val="center"/>
              <w:rPr>
                <w:rFonts w:ascii="宋体" w:hAnsi="宋体" w:cs="宋体"/>
                <w:kern w:val="0"/>
                <w:sz w:val="20"/>
              </w:rPr>
            </w:pPr>
          </w:p>
        </w:tc>
        <w:tc>
          <w:tcPr>
            <w:tcW w:w="16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242"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44.50</w:t>
            </w:r>
          </w:p>
        </w:tc>
        <w:tc>
          <w:tcPr>
            <w:tcW w:w="121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44.50</w:t>
            </w: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92" w:type="dxa"/>
            <w:shd w:val="clear" w:color="auto" w:fill="FFFFFF"/>
            <w:noWrap/>
            <w:vAlign w:val="center"/>
          </w:tcPr>
          <w:p>
            <w:pPr>
              <w:widowControl/>
              <w:jc w:val="center"/>
              <w:rPr>
                <w:rFonts w:ascii="宋体" w:hAnsi="宋体" w:cs="宋体"/>
                <w:kern w:val="0"/>
                <w:sz w:val="20"/>
              </w:rPr>
            </w:pPr>
          </w:p>
        </w:tc>
        <w:tc>
          <w:tcPr>
            <w:tcW w:w="16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24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92" w:type="dxa"/>
            <w:shd w:val="clear" w:color="auto" w:fill="FFFFFF"/>
            <w:noWrap/>
            <w:vAlign w:val="center"/>
          </w:tcPr>
          <w:p>
            <w:pPr>
              <w:widowControl/>
              <w:jc w:val="center"/>
              <w:rPr>
                <w:rFonts w:ascii="宋体" w:hAnsi="宋体" w:cs="宋体"/>
                <w:kern w:val="0"/>
                <w:sz w:val="20"/>
              </w:rPr>
            </w:pPr>
          </w:p>
        </w:tc>
        <w:tc>
          <w:tcPr>
            <w:tcW w:w="16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242"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232.00</w:t>
            </w:r>
          </w:p>
        </w:tc>
        <w:tc>
          <w:tcPr>
            <w:tcW w:w="121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232.00</w:t>
            </w: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92" w:type="dxa"/>
            <w:shd w:val="clear" w:color="auto" w:fill="FFFFFF"/>
            <w:noWrap/>
            <w:vAlign w:val="center"/>
          </w:tcPr>
          <w:p>
            <w:pPr>
              <w:widowControl/>
              <w:jc w:val="center"/>
              <w:rPr>
                <w:rFonts w:ascii="宋体" w:hAnsi="宋体" w:cs="宋体"/>
                <w:kern w:val="0"/>
                <w:sz w:val="20"/>
              </w:rPr>
            </w:pPr>
          </w:p>
        </w:tc>
        <w:tc>
          <w:tcPr>
            <w:tcW w:w="16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24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92" w:type="dxa"/>
            <w:shd w:val="clear" w:color="auto" w:fill="FFFFFF"/>
            <w:noWrap/>
            <w:vAlign w:val="center"/>
          </w:tcPr>
          <w:p>
            <w:pPr>
              <w:widowControl/>
              <w:jc w:val="center"/>
              <w:rPr>
                <w:rFonts w:ascii="宋体" w:hAnsi="宋体" w:cs="宋体"/>
                <w:kern w:val="0"/>
                <w:sz w:val="20"/>
              </w:rPr>
            </w:pPr>
          </w:p>
        </w:tc>
        <w:tc>
          <w:tcPr>
            <w:tcW w:w="16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24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92" w:type="dxa"/>
            <w:shd w:val="clear" w:color="auto" w:fill="FFFFFF"/>
            <w:noWrap/>
            <w:vAlign w:val="center"/>
          </w:tcPr>
          <w:p>
            <w:pPr>
              <w:widowControl/>
              <w:jc w:val="center"/>
              <w:rPr>
                <w:rFonts w:ascii="宋体" w:hAnsi="宋体" w:cs="宋体"/>
                <w:kern w:val="0"/>
                <w:sz w:val="20"/>
              </w:rPr>
            </w:pPr>
          </w:p>
        </w:tc>
        <w:tc>
          <w:tcPr>
            <w:tcW w:w="16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24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92" w:type="dxa"/>
            <w:shd w:val="clear" w:color="auto" w:fill="FFFFFF"/>
            <w:noWrap/>
            <w:vAlign w:val="center"/>
          </w:tcPr>
          <w:p>
            <w:pPr>
              <w:widowControl/>
              <w:jc w:val="center"/>
              <w:rPr>
                <w:rFonts w:ascii="宋体" w:hAnsi="宋体" w:cs="宋体"/>
                <w:kern w:val="0"/>
                <w:sz w:val="20"/>
              </w:rPr>
            </w:pPr>
          </w:p>
        </w:tc>
        <w:tc>
          <w:tcPr>
            <w:tcW w:w="16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24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92" w:type="dxa"/>
            <w:shd w:val="clear" w:color="auto" w:fill="FFFFFF"/>
            <w:noWrap/>
            <w:vAlign w:val="center"/>
          </w:tcPr>
          <w:p>
            <w:pPr>
              <w:widowControl/>
              <w:jc w:val="center"/>
              <w:rPr>
                <w:rFonts w:ascii="宋体" w:hAnsi="宋体" w:cs="宋体"/>
                <w:kern w:val="0"/>
                <w:sz w:val="20"/>
              </w:rPr>
            </w:pPr>
          </w:p>
        </w:tc>
        <w:tc>
          <w:tcPr>
            <w:tcW w:w="16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24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92" w:type="dxa"/>
            <w:shd w:val="clear" w:color="auto" w:fill="FFFFFF"/>
            <w:noWrap/>
            <w:vAlign w:val="center"/>
          </w:tcPr>
          <w:p>
            <w:pPr>
              <w:widowControl/>
              <w:jc w:val="center"/>
              <w:rPr>
                <w:rFonts w:ascii="宋体" w:hAnsi="宋体" w:cs="宋体"/>
                <w:kern w:val="0"/>
                <w:sz w:val="20"/>
              </w:rPr>
            </w:pPr>
          </w:p>
        </w:tc>
        <w:tc>
          <w:tcPr>
            <w:tcW w:w="16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24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92" w:type="dxa"/>
            <w:shd w:val="clear" w:color="auto" w:fill="FFFFFF"/>
            <w:noWrap/>
            <w:vAlign w:val="center"/>
          </w:tcPr>
          <w:p>
            <w:pPr>
              <w:widowControl/>
              <w:jc w:val="center"/>
              <w:rPr>
                <w:rFonts w:ascii="宋体" w:hAnsi="宋体" w:cs="宋体"/>
                <w:kern w:val="0"/>
                <w:sz w:val="20"/>
              </w:rPr>
            </w:pPr>
          </w:p>
        </w:tc>
        <w:tc>
          <w:tcPr>
            <w:tcW w:w="16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24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92" w:type="dxa"/>
            <w:shd w:val="clear" w:color="auto" w:fill="FFFFFF"/>
            <w:noWrap/>
            <w:vAlign w:val="center"/>
          </w:tcPr>
          <w:p>
            <w:pPr>
              <w:widowControl/>
              <w:jc w:val="center"/>
              <w:rPr>
                <w:rFonts w:ascii="宋体" w:hAnsi="宋体" w:cs="宋体"/>
                <w:kern w:val="0"/>
                <w:sz w:val="20"/>
              </w:rPr>
            </w:pPr>
          </w:p>
        </w:tc>
        <w:tc>
          <w:tcPr>
            <w:tcW w:w="16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24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92" w:type="dxa"/>
            <w:shd w:val="clear" w:color="auto" w:fill="FFFFFF"/>
            <w:noWrap/>
            <w:vAlign w:val="center"/>
          </w:tcPr>
          <w:p>
            <w:pPr>
              <w:widowControl/>
              <w:jc w:val="center"/>
              <w:rPr>
                <w:rFonts w:ascii="宋体" w:hAnsi="宋体" w:cs="宋体"/>
                <w:kern w:val="0"/>
                <w:sz w:val="20"/>
              </w:rPr>
            </w:pPr>
          </w:p>
        </w:tc>
        <w:tc>
          <w:tcPr>
            <w:tcW w:w="16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24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92" w:type="dxa"/>
            <w:shd w:val="clear" w:color="auto" w:fill="FFFFFF"/>
            <w:noWrap/>
            <w:vAlign w:val="center"/>
          </w:tcPr>
          <w:p>
            <w:pPr>
              <w:widowControl/>
              <w:jc w:val="center"/>
              <w:rPr>
                <w:rFonts w:ascii="宋体" w:hAnsi="宋体" w:cs="宋体"/>
                <w:kern w:val="0"/>
                <w:sz w:val="20"/>
              </w:rPr>
            </w:pPr>
          </w:p>
        </w:tc>
        <w:tc>
          <w:tcPr>
            <w:tcW w:w="16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242"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23.31</w:t>
            </w:r>
          </w:p>
        </w:tc>
        <w:tc>
          <w:tcPr>
            <w:tcW w:w="121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23.31</w:t>
            </w: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92" w:type="dxa"/>
            <w:shd w:val="clear" w:color="auto" w:fill="FFFFFF"/>
            <w:noWrap/>
            <w:vAlign w:val="center"/>
          </w:tcPr>
          <w:p>
            <w:pPr>
              <w:widowControl/>
              <w:jc w:val="center"/>
              <w:rPr>
                <w:rFonts w:ascii="宋体" w:hAnsi="宋体" w:cs="宋体"/>
                <w:kern w:val="0"/>
                <w:sz w:val="20"/>
              </w:rPr>
            </w:pPr>
          </w:p>
        </w:tc>
        <w:tc>
          <w:tcPr>
            <w:tcW w:w="16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24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92" w:type="dxa"/>
            <w:shd w:val="clear" w:color="auto" w:fill="FFFFFF"/>
            <w:noWrap/>
            <w:vAlign w:val="center"/>
          </w:tcPr>
          <w:p>
            <w:pPr>
              <w:widowControl/>
              <w:jc w:val="center"/>
              <w:rPr>
                <w:rFonts w:ascii="宋体" w:hAnsi="宋体" w:cs="宋体"/>
                <w:kern w:val="0"/>
                <w:sz w:val="20"/>
              </w:rPr>
            </w:pPr>
          </w:p>
        </w:tc>
        <w:tc>
          <w:tcPr>
            <w:tcW w:w="16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24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92" w:type="dxa"/>
            <w:shd w:val="clear" w:color="auto" w:fill="FFFFFF"/>
            <w:noWrap/>
            <w:vAlign w:val="center"/>
          </w:tcPr>
          <w:p>
            <w:pPr>
              <w:widowControl/>
              <w:jc w:val="center"/>
              <w:rPr>
                <w:rFonts w:ascii="宋体" w:hAnsi="宋体" w:cs="宋体"/>
                <w:kern w:val="0"/>
                <w:sz w:val="20"/>
              </w:rPr>
            </w:pPr>
          </w:p>
        </w:tc>
        <w:tc>
          <w:tcPr>
            <w:tcW w:w="16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24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92" w:type="dxa"/>
            <w:shd w:val="clear" w:color="auto" w:fill="FFFFFF"/>
            <w:noWrap/>
            <w:vAlign w:val="center"/>
          </w:tcPr>
          <w:p>
            <w:pPr>
              <w:widowControl/>
              <w:jc w:val="center"/>
              <w:rPr>
                <w:rFonts w:ascii="宋体" w:hAnsi="宋体" w:cs="宋体"/>
                <w:kern w:val="0"/>
                <w:sz w:val="20"/>
              </w:rPr>
            </w:pPr>
          </w:p>
        </w:tc>
        <w:tc>
          <w:tcPr>
            <w:tcW w:w="16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24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92" w:type="dxa"/>
            <w:shd w:val="clear" w:color="auto" w:fill="FFFFFF"/>
            <w:noWrap/>
            <w:vAlign w:val="center"/>
          </w:tcPr>
          <w:p>
            <w:pPr>
              <w:widowControl/>
              <w:jc w:val="center"/>
              <w:rPr>
                <w:rFonts w:ascii="宋体" w:hAnsi="宋体" w:cs="宋体"/>
                <w:kern w:val="0"/>
                <w:sz w:val="20"/>
              </w:rPr>
            </w:pPr>
          </w:p>
        </w:tc>
        <w:tc>
          <w:tcPr>
            <w:tcW w:w="16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24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92" w:type="dxa"/>
            <w:shd w:val="clear" w:color="auto" w:fill="FFFFFF"/>
            <w:noWrap/>
            <w:vAlign w:val="center"/>
          </w:tcPr>
          <w:p>
            <w:pPr>
              <w:widowControl/>
              <w:jc w:val="center"/>
              <w:rPr>
                <w:rFonts w:ascii="宋体" w:hAnsi="宋体" w:cs="宋体"/>
                <w:kern w:val="0"/>
                <w:sz w:val="20"/>
              </w:rPr>
            </w:pPr>
          </w:p>
        </w:tc>
        <w:tc>
          <w:tcPr>
            <w:tcW w:w="16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24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92" w:type="dxa"/>
            <w:shd w:val="clear" w:color="auto" w:fill="FFFFFF"/>
            <w:noWrap/>
            <w:vAlign w:val="center"/>
          </w:tcPr>
          <w:p>
            <w:pPr>
              <w:widowControl/>
              <w:jc w:val="center"/>
              <w:rPr>
                <w:rFonts w:ascii="宋体" w:hAnsi="宋体" w:cs="宋体"/>
                <w:kern w:val="0"/>
                <w:sz w:val="20"/>
              </w:rPr>
            </w:pPr>
          </w:p>
        </w:tc>
        <w:tc>
          <w:tcPr>
            <w:tcW w:w="16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24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92" w:type="dxa"/>
            <w:shd w:val="clear" w:color="auto" w:fill="FFFFFF"/>
            <w:noWrap/>
            <w:vAlign w:val="center"/>
          </w:tcPr>
          <w:p>
            <w:pPr>
              <w:widowControl/>
              <w:jc w:val="center"/>
              <w:rPr>
                <w:rFonts w:ascii="宋体" w:hAnsi="宋体" w:cs="宋体"/>
                <w:kern w:val="0"/>
                <w:sz w:val="20"/>
              </w:rPr>
            </w:pPr>
          </w:p>
        </w:tc>
        <w:tc>
          <w:tcPr>
            <w:tcW w:w="16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24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92" w:type="dxa"/>
            <w:shd w:val="clear" w:color="auto" w:fill="FFFFFF"/>
            <w:noWrap/>
            <w:vAlign w:val="center"/>
          </w:tcPr>
          <w:p>
            <w:pPr>
              <w:widowControl/>
              <w:jc w:val="center"/>
              <w:rPr>
                <w:rFonts w:ascii="宋体" w:hAnsi="宋体" w:cs="宋体"/>
                <w:kern w:val="0"/>
                <w:sz w:val="20"/>
              </w:rPr>
            </w:pPr>
          </w:p>
        </w:tc>
        <w:tc>
          <w:tcPr>
            <w:tcW w:w="16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24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92" w:type="dxa"/>
            <w:shd w:val="clear" w:color="auto" w:fill="FFFFFF"/>
            <w:noWrap/>
            <w:vAlign w:val="center"/>
          </w:tcPr>
          <w:p>
            <w:pPr>
              <w:widowControl/>
              <w:jc w:val="center"/>
              <w:rPr>
                <w:rFonts w:ascii="宋体" w:hAnsi="宋体" w:cs="宋体"/>
                <w:kern w:val="0"/>
                <w:sz w:val="20"/>
              </w:rPr>
            </w:pPr>
          </w:p>
        </w:tc>
        <w:tc>
          <w:tcPr>
            <w:tcW w:w="16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24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92" w:type="dxa"/>
            <w:shd w:val="clear" w:color="auto" w:fill="FFFFFF"/>
            <w:noWrap/>
            <w:vAlign w:val="center"/>
          </w:tcPr>
          <w:p>
            <w:pPr>
              <w:widowControl/>
              <w:jc w:val="center"/>
              <w:rPr>
                <w:rFonts w:ascii="宋体" w:hAnsi="宋体" w:cs="宋体"/>
                <w:kern w:val="0"/>
                <w:sz w:val="20"/>
              </w:rPr>
            </w:pPr>
          </w:p>
        </w:tc>
        <w:tc>
          <w:tcPr>
            <w:tcW w:w="16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24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192" w:type="dxa"/>
            <w:shd w:val="clear" w:color="auto" w:fill="FFFFFF"/>
            <w:noWrap/>
            <w:vAlign w:val="center"/>
          </w:tcPr>
          <w:p>
            <w:pPr>
              <w:widowControl/>
              <w:jc w:val="center"/>
              <w:rPr>
                <w:rFonts w:ascii="宋体" w:hAnsi="宋体" w:cs="宋体"/>
                <w:kern w:val="0"/>
                <w:sz w:val="20"/>
              </w:rPr>
            </w:pPr>
          </w:p>
        </w:tc>
        <w:tc>
          <w:tcPr>
            <w:tcW w:w="16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24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192" w:type="dxa"/>
            <w:shd w:val="clear" w:color="auto" w:fill="FFFFFF"/>
            <w:noWrap/>
            <w:vAlign w:val="center"/>
          </w:tcPr>
          <w:p>
            <w:pPr>
              <w:widowControl/>
              <w:jc w:val="center"/>
              <w:rPr>
                <w:rFonts w:ascii="宋体" w:hAnsi="宋体" w:cs="宋体"/>
                <w:kern w:val="0"/>
                <w:sz w:val="20"/>
              </w:rPr>
            </w:pPr>
          </w:p>
        </w:tc>
        <w:tc>
          <w:tcPr>
            <w:tcW w:w="1675" w:type="dxa"/>
            <w:shd w:val="clear" w:color="auto" w:fill="FFFFFF"/>
            <w:noWrap/>
            <w:vAlign w:val="center"/>
          </w:tcPr>
          <w:p>
            <w:pPr>
              <w:widowControl/>
              <w:jc w:val="left"/>
              <w:rPr>
                <w:rFonts w:ascii="宋体" w:hAnsi="宋体" w:cs="宋体"/>
                <w:kern w:val="0"/>
                <w:sz w:val="20"/>
              </w:rPr>
            </w:pPr>
          </w:p>
        </w:tc>
        <w:tc>
          <w:tcPr>
            <w:tcW w:w="124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192" w:type="dxa"/>
            <w:shd w:val="clear" w:color="auto" w:fill="FFFFFF"/>
            <w:noWrap/>
            <w:vAlign w:val="center"/>
          </w:tcPr>
          <w:p>
            <w:pPr>
              <w:widowControl/>
              <w:jc w:val="center"/>
              <w:rPr>
                <w:rFonts w:ascii="宋体" w:hAnsi="宋体" w:cs="宋体"/>
                <w:kern w:val="0"/>
                <w:sz w:val="20"/>
              </w:rPr>
            </w:pPr>
          </w:p>
        </w:tc>
        <w:tc>
          <w:tcPr>
            <w:tcW w:w="1675" w:type="dxa"/>
            <w:shd w:val="clear" w:color="auto" w:fill="FFFFFF"/>
            <w:noWrap/>
            <w:vAlign w:val="center"/>
          </w:tcPr>
          <w:p>
            <w:pPr>
              <w:widowControl/>
              <w:jc w:val="left"/>
              <w:rPr>
                <w:rFonts w:ascii="宋体" w:hAnsi="宋体" w:cs="宋体"/>
                <w:kern w:val="0"/>
                <w:sz w:val="20"/>
              </w:rPr>
            </w:pPr>
          </w:p>
        </w:tc>
        <w:tc>
          <w:tcPr>
            <w:tcW w:w="124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6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19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299.80</w:t>
            </w:r>
          </w:p>
        </w:tc>
        <w:tc>
          <w:tcPr>
            <w:tcW w:w="16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242"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299.80</w:t>
            </w:r>
          </w:p>
        </w:tc>
        <w:tc>
          <w:tcPr>
            <w:tcW w:w="121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299.80</w:t>
            </w:r>
          </w:p>
        </w:tc>
        <w:tc>
          <w:tcPr>
            <w:tcW w:w="1171" w:type="dxa"/>
            <w:shd w:val="clear" w:color="auto" w:fill="FFFFFF"/>
            <w:noWrap/>
            <w:vAlign w:val="center"/>
          </w:tcPr>
          <w:p>
            <w:pPr>
              <w:widowControl/>
              <w:jc w:val="center"/>
              <w:rPr>
                <w:rFonts w:ascii="宋体" w:hAnsi="宋体" w:eastAsia="宋体" w:cs="宋体"/>
                <w:kern w:val="0"/>
                <w:sz w:val="20"/>
                <w:lang w:val="en-US" w:eastAsia="zh-CN" w:bidi="ar-SA"/>
              </w:rPr>
            </w:pPr>
          </w:p>
        </w:tc>
      </w:tr>
    </w:tbl>
    <w:p>
      <w:r>
        <w:br w:type="page"/>
      </w:r>
    </w:p>
    <w:tbl>
      <w:tblPr>
        <w:tblStyle w:val="6"/>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789"/>
        <w:gridCol w:w="1390"/>
        <w:gridCol w:w="1390"/>
        <w:gridCol w:w="1391"/>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6038"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171"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78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39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39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39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78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3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3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3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6038"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299.80</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299.80</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44.50</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44.50</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43.20</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43.20</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7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23.85</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23.85</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7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11.93</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11.93</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7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7.42</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7.42</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1.30</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1.30</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7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1.30</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1.30</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232.00</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232.00</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基层医疗卫生机构</w:t>
            </w:r>
            <w:r>
              <w:rPr>
                <w:rFonts w:hint="eastAsia" w:ascii="宋体" w:hAnsi="宋体" w:cs="宋体"/>
                <w:kern w:val="0"/>
                <w:sz w:val="20"/>
              </w:rPr>
              <w:t>　</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208.71</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208.71</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7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乡镇卫生院</w:t>
            </w:r>
            <w:r>
              <w:rPr>
                <w:rFonts w:hint="eastAsia" w:ascii="宋体" w:hAnsi="宋体" w:cs="宋体"/>
                <w:kern w:val="0"/>
                <w:sz w:val="20"/>
              </w:rPr>
              <w:t>　</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208.71</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208.71</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23.28</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23.28</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7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11.73</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11.73</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7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11.55</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11.55</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23.31</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23.31</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23.31</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23.31</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7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23.31</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23.31</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1245" w:type="dxa"/>
        <w:jc w:val="center"/>
        <w:tblLayout w:type="fixed"/>
        <w:tblCellMar>
          <w:top w:w="0" w:type="dxa"/>
          <w:left w:w="108" w:type="dxa"/>
          <w:bottom w:w="0" w:type="dxa"/>
          <w:right w:w="108" w:type="dxa"/>
        </w:tblCellMar>
      </w:tblPr>
      <w:tblGrid>
        <w:gridCol w:w="650"/>
        <w:gridCol w:w="650"/>
        <w:gridCol w:w="3090"/>
        <w:gridCol w:w="2285"/>
        <w:gridCol w:w="2285"/>
        <w:gridCol w:w="2285"/>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390"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855"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09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28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28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28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30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390"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299.80</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291.54</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8.26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0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281.79</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281.79</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0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51.61</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51.61</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0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63.98</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63.98</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0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84.86</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84.86</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0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23.85</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23.85</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30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11.93</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11.93</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30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9.40</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9.40</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0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11.55</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11.55</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30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1.30</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1.30</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30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23.31</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23.31</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0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8.26</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8.26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0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0.42</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30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0.28</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30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0.28</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0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0.70</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0.70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0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1.40</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0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0.56</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0.56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30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0.28</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30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2.89</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2.89</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31</w:t>
            </w:r>
          </w:p>
        </w:tc>
        <w:tc>
          <w:tcPr>
            <w:tcW w:w="30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公务用车运行维护费</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0.80</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0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0.65</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0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9.75</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9.75</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0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7.42</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7.42</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0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2.33</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2.33</w:t>
            </w:r>
          </w:p>
        </w:tc>
        <w:tc>
          <w:tcPr>
            <w:tcW w:w="22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6"/>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15"/>
            <w:bookmarkEnd w:id="1"/>
            <w:bookmarkStart w:id="2" w:name="RANGE!A1:G6"/>
            <w:bookmarkEnd w:id="2"/>
            <w:bookmarkStart w:id="3" w:name="RANGE!A1:F62"/>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1.08</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0.80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0.80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0.28</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1.08</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0.80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0.80</w:t>
            </w:r>
          </w:p>
        </w:tc>
        <w:tc>
          <w:tcPr>
            <w:tcW w:w="972"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0.28</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湟源县巴燕乡卫生院2023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湟源县巴燕乡卫生院</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一般公共预算拨款收入299.80万元</w:t>
      </w:r>
      <w:r>
        <w:rPr>
          <w:rFonts w:hint="eastAsia" w:ascii="仿宋_GB2312" w:eastAsia="仿宋_GB2312"/>
          <w:sz w:val="32"/>
          <w:szCs w:val="32"/>
        </w:rPr>
        <w:t>；支出包括：</w:t>
      </w:r>
      <w:r>
        <w:rPr>
          <w:rFonts w:hint="eastAsia" w:ascii="仿宋_GB2312" w:eastAsia="仿宋_GB2312"/>
          <w:sz w:val="32"/>
          <w:szCs w:val="32"/>
          <w:lang w:val="en-US" w:eastAsia="zh-CN"/>
        </w:rPr>
        <w:t>社会保障和就业支出44.50万元，卫生健康支出232.00万元，住房保障支出23.31万元</w:t>
      </w:r>
      <w:r>
        <w:rPr>
          <w:rFonts w:hint="eastAsia" w:ascii="仿宋_GB2312" w:eastAsia="仿宋_GB2312"/>
          <w:sz w:val="32"/>
          <w:szCs w:val="32"/>
        </w:rPr>
        <w:t>。</w:t>
      </w:r>
      <w:r>
        <w:rPr>
          <w:rFonts w:hint="eastAsia" w:ascii="仿宋_GB2312" w:eastAsia="仿宋_GB2312"/>
          <w:sz w:val="32"/>
          <w:szCs w:val="32"/>
          <w:lang w:val="en-US" w:eastAsia="zh-CN"/>
        </w:rPr>
        <w:t>湟源县巴燕乡卫生院2023</w:t>
      </w:r>
      <w:r>
        <w:rPr>
          <w:rFonts w:hint="eastAsia" w:ascii="仿宋_GB2312" w:eastAsia="仿宋_GB2312"/>
          <w:sz w:val="32"/>
          <w:szCs w:val="32"/>
        </w:rPr>
        <w:t>年收支总预算</w:t>
      </w:r>
      <w:r>
        <w:rPr>
          <w:rFonts w:hint="eastAsia" w:ascii="仿宋_GB2312" w:eastAsia="仿宋_GB2312"/>
          <w:sz w:val="32"/>
          <w:szCs w:val="32"/>
          <w:lang w:val="en-US" w:eastAsia="zh-CN"/>
        </w:rPr>
        <w:t>299.80</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湟源县巴燕乡卫生院2023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湟源县巴燕乡卫生院2023</w:t>
      </w:r>
      <w:r>
        <w:rPr>
          <w:rFonts w:hint="eastAsia" w:ascii="仿宋_GB2312" w:eastAsia="仿宋_GB2312"/>
          <w:sz w:val="32"/>
          <w:szCs w:val="32"/>
        </w:rPr>
        <w:t>年收入预算</w:t>
      </w:r>
      <w:r>
        <w:rPr>
          <w:rFonts w:hint="eastAsia" w:ascii="仿宋_GB2312" w:eastAsia="仿宋_GB2312"/>
          <w:sz w:val="32"/>
          <w:szCs w:val="32"/>
          <w:lang w:val="en-US" w:eastAsia="zh-CN"/>
        </w:rPr>
        <w:t>299.80</w:t>
      </w:r>
      <w:r>
        <w:rPr>
          <w:rFonts w:hint="eastAsia" w:ascii="仿宋_GB2312" w:eastAsia="仿宋_GB2312"/>
          <w:sz w:val="32"/>
          <w:szCs w:val="32"/>
        </w:rPr>
        <w:t>万元，其中：</w:t>
      </w:r>
      <w:r>
        <w:rPr>
          <w:rFonts w:hint="eastAsia" w:ascii="仿宋_GB2312" w:eastAsia="仿宋_GB2312"/>
          <w:sz w:val="32"/>
          <w:szCs w:val="32"/>
          <w:lang w:val="en-US" w:eastAsia="zh-CN"/>
        </w:rPr>
        <w:t>一般公共预算拨款收入299.80万元，占100.00%</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70.75pt;width:371.2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湟源县巴燕乡卫生院2023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湟源县巴燕乡卫生院2023</w:t>
      </w:r>
      <w:r>
        <w:rPr>
          <w:rFonts w:hint="eastAsia" w:ascii="仿宋_GB2312" w:eastAsia="仿宋_GB2312"/>
          <w:sz w:val="32"/>
          <w:szCs w:val="32"/>
        </w:rPr>
        <w:t>年支出预算</w:t>
      </w:r>
      <w:r>
        <w:rPr>
          <w:rFonts w:hint="eastAsia" w:ascii="仿宋_GB2312" w:eastAsia="仿宋_GB2312"/>
          <w:sz w:val="32"/>
          <w:szCs w:val="32"/>
          <w:lang w:val="en-US" w:eastAsia="zh-CN"/>
        </w:rPr>
        <w:t>299.80</w:t>
      </w:r>
      <w:r>
        <w:rPr>
          <w:rFonts w:hint="eastAsia" w:ascii="仿宋_GB2312" w:eastAsia="仿宋_GB2312"/>
          <w:sz w:val="32"/>
          <w:szCs w:val="32"/>
        </w:rPr>
        <w:t>万元，其中：</w:t>
      </w:r>
      <w:r>
        <w:rPr>
          <w:rFonts w:hint="eastAsia" w:ascii="仿宋_GB2312" w:eastAsia="仿宋_GB2312"/>
          <w:sz w:val="32"/>
          <w:szCs w:val="32"/>
          <w:lang w:val="en-US" w:eastAsia="zh-CN"/>
        </w:rPr>
        <w:t>基本支出299.80万元，占100.00%</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67.35pt;width:363.75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湟源县巴燕乡卫生院2023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湟源县巴燕乡卫生院2023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299.80</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增加27.11</w:t>
      </w:r>
      <w:r>
        <w:rPr>
          <w:rFonts w:hint="eastAsia" w:ascii="仿宋_GB2312" w:eastAsia="仿宋_GB2312"/>
          <w:sz w:val="32"/>
          <w:szCs w:val="32"/>
        </w:rPr>
        <w:t>万元，</w:t>
      </w:r>
      <w:r>
        <w:rPr>
          <w:rFonts w:hint="eastAsia" w:ascii="仿宋_GB2312" w:hAnsi="仿宋_GB2312" w:eastAsia="仿宋_GB2312" w:cs="仿宋_GB2312"/>
          <w:sz w:val="32"/>
          <w:szCs w:val="32"/>
        </w:rPr>
        <w:t>主要是人员经费增加及工资调整。</w:t>
      </w:r>
      <w:r>
        <w:rPr>
          <w:rFonts w:hint="eastAsia" w:ascii="仿宋_GB2312" w:eastAsia="仿宋_GB2312"/>
          <w:sz w:val="32"/>
          <w:szCs w:val="32"/>
        </w:rPr>
        <w:t>收入包括：</w:t>
      </w:r>
      <w:r>
        <w:rPr>
          <w:rFonts w:hint="eastAsia" w:ascii="仿宋_GB2312" w:eastAsia="仿宋_GB2312"/>
          <w:sz w:val="32"/>
          <w:szCs w:val="32"/>
          <w:lang w:val="en-US" w:eastAsia="zh-CN"/>
        </w:rPr>
        <w:t>一般公共预算拨款收入299.80万元，上年结转0.00万元；政府性基金预算拨款收入0.00万元，上年结转0.00万元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社会保障和就业支出44.50万元， 卫生健康支出232.00万元， 住房保障支出23.31万元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7" o:spt="75" type="#_x0000_t75" style="height:167.5pt;width:364.2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湟源县巴燕乡卫生院2023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i w:val="0"/>
          <w:iCs/>
          <w:sz w:val="32"/>
          <w:szCs w:val="32"/>
          <w:u w:val="none"/>
          <w:lang w:eastAsia="zh-CN"/>
        </w:rPr>
      </w:pPr>
      <w:r>
        <w:rPr>
          <w:rFonts w:hint="eastAsia" w:ascii="仿宋_GB2312" w:eastAsia="仿宋_GB2312"/>
          <w:sz w:val="32"/>
          <w:szCs w:val="32"/>
          <w:lang w:val="en-US" w:eastAsia="zh-CN"/>
        </w:rPr>
        <w:t>湟源县巴燕乡卫生院2023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299.80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减少597.15</w:t>
      </w:r>
      <w:r>
        <w:rPr>
          <w:rFonts w:hint="eastAsia" w:ascii="仿宋_GB2312" w:eastAsia="仿宋_GB2312"/>
          <w:sz w:val="32"/>
          <w:szCs w:val="32"/>
        </w:rPr>
        <w:t>万元，主要是</w:t>
      </w:r>
      <w:r>
        <w:rPr>
          <w:rFonts w:hint="eastAsia" w:ascii="仿宋_GB2312" w:eastAsia="仿宋_GB2312"/>
          <w:sz w:val="32"/>
          <w:szCs w:val="32"/>
          <w:lang w:val="en-US" w:eastAsia="zh-CN"/>
        </w:rPr>
        <w:t>项目拨款的减少</w:t>
      </w:r>
      <w:r>
        <w:rPr>
          <w:rFonts w:hint="eastAsia" w:ascii="仿宋_GB2312" w:eastAsia="仿宋_GB2312"/>
          <w:i w:val="0"/>
          <w:iCs/>
          <w:sz w:val="32"/>
          <w:szCs w:val="32"/>
          <w:u w:val="none"/>
          <w:lang w:eastAsia="zh-CN"/>
        </w:rPr>
        <w:t>。</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drawing>
          <wp:inline distT="0" distB="0" distL="114300" distR="114300">
            <wp:extent cx="4524375" cy="1547495"/>
            <wp:effectExtent l="0" t="0" r="0"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10"/>
                    <a:stretch>
                      <a:fillRect/>
                    </a:stretch>
                  </pic:blipFill>
                  <pic:spPr>
                    <a:xfrm>
                      <a:off x="0" y="0"/>
                      <a:ext cx="4524375" cy="1547495"/>
                    </a:xfrm>
                    <a:prstGeom prst="rect">
                      <a:avLst/>
                    </a:prstGeom>
                    <a:noFill/>
                    <a:ln>
                      <a:noFill/>
                    </a:ln>
                  </pic:spPr>
                </pic:pic>
              </a:graphicData>
            </a:graphic>
          </wp:inline>
        </w:drawing>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社会保障和就业支出44.50万元，占14.84%；卫生健康支出232.00万元，占77.38%；住房保障支出23.31万元，占7.78%</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8" o:spt="75" type="#_x0000_t75" style="height:164.6pt;width:357.9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hAnsi="仿宋_GB2312" w:eastAsia="仿宋_GB2312" w:cs="仿宋_GB2312"/>
          <w:sz w:val="32"/>
          <w:szCs w:val="32"/>
          <w:lang w:eastAsia="zh-CN"/>
        </w:rPr>
      </w:pPr>
      <w:r>
        <w:rPr>
          <w:rFonts w:hint="eastAsia" w:ascii="仿宋_GB2312" w:eastAsia="仿宋_GB2312"/>
          <w:sz w:val="32"/>
          <w:szCs w:val="32"/>
        </w:rPr>
        <w:t>1、</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23.85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增加6.10</w:t>
      </w:r>
      <w:r>
        <w:rPr>
          <w:rFonts w:hint="eastAsia" w:ascii="仿宋_GB2312" w:eastAsia="仿宋_GB2312"/>
          <w:sz w:val="32"/>
          <w:szCs w:val="32"/>
        </w:rPr>
        <w:t>万元，</w:t>
      </w:r>
      <w:r>
        <w:rPr>
          <w:rFonts w:hint="eastAsia" w:ascii="仿宋_GB2312" w:eastAsia="仿宋_GB2312"/>
          <w:sz w:val="32"/>
          <w:szCs w:val="32"/>
          <w:lang w:val="en-US" w:eastAsia="zh-CN"/>
        </w:rPr>
        <w:t>增长34.37</w:t>
      </w:r>
      <w:r>
        <w:rPr>
          <w:rFonts w:hint="eastAsia" w:ascii="仿宋_GB2312" w:eastAsia="仿宋_GB2312"/>
          <w:sz w:val="32"/>
          <w:szCs w:val="32"/>
        </w:rPr>
        <w:t>%。</w:t>
      </w:r>
      <w:r>
        <w:rPr>
          <w:rFonts w:hint="eastAsia" w:ascii="仿宋_GB2312" w:hAnsi="仿宋_GB2312" w:eastAsia="仿宋_GB2312" w:cs="仿宋_GB2312"/>
          <w:sz w:val="32"/>
          <w:szCs w:val="32"/>
        </w:rPr>
        <w:t>主要是人员增加及工资调整</w:t>
      </w:r>
      <w:r>
        <w:rPr>
          <w:rFonts w:hint="eastAsia" w:ascii="仿宋_GB2312" w:hAnsi="仿宋_GB2312" w:eastAsia="仿宋_GB2312" w:cs="仿宋_GB2312"/>
          <w:sz w:val="32"/>
          <w:szCs w:val="32"/>
          <w:lang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11.93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增加3.06</w:t>
      </w:r>
      <w:r>
        <w:rPr>
          <w:rFonts w:hint="eastAsia" w:ascii="仿宋_GB2312" w:eastAsia="仿宋_GB2312"/>
          <w:sz w:val="32"/>
          <w:szCs w:val="32"/>
        </w:rPr>
        <w:t>万元，</w:t>
      </w:r>
      <w:r>
        <w:rPr>
          <w:rFonts w:hint="eastAsia" w:ascii="仿宋_GB2312" w:eastAsia="仿宋_GB2312"/>
          <w:sz w:val="32"/>
          <w:szCs w:val="32"/>
          <w:lang w:val="en-US" w:eastAsia="zh-CN"/>
        </w:rPr>
        <w:t>增长34.50</w:t>
      </w:r>
      <w:r>
        <w:rPr>
          <w:rFonts w:hint="eastAsia" w:ascii="仿宋_GB2312" w:eastAsia="仿宋_GB2312"/>
          <w:sz w:val="32"/>
          <w:szCs w:val="32"/>
        </w:rPr>
        <w:t>%。</w:t>
      </w:r>
      <w:r>
        <w:rPr>
          <w:rFonts w:hint="eastAsia" w:ascii="仿宋_GB2312" w:hAnsi="仿宋_GB2312" w:eastAsia="仿宋_GB2312" w:cs="仿宋_GB2312"/>
          <w:sz w:val="32"/>
          <w:szCs w:val="32"/>
        </w:rPr>
        <w:t>主要是人员增加及工资调整</w:t>
      </w:r>
      <w:r>
        <w:rPr>
          <w:rFonts w:hint="eastAsia" w:ascii="仿宋_GB2312" w:hAnsi="仿宋_GB2312" w:eastAsia="仿宋_GB2312" w:cs="仿宋_GB2312"/>
          <w:sz w:val="32"/>
          <w:szCs w:val="32"/>
          <w:lang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7.42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减少0.45</w:t>
      </w:r>
      <w:r>
        <w:rPr>
          <w:rFonts w:hint="eastAsia" w:ascii="仿宋_GB2312" w:eastAsia="仿宋_GB2312"/>
          <w:sz w:val="32"/>
          <w:szCs w:val="32"/>
        </w:rPr>
        <w:t>万元，</w:t>
      </w:r>
      <w:r>
        <w:rPr>
          <w:rFonts w:hint="eastAsia" w:ascii="仿宋_GB2312" w:eastAsia="仿宋_GB2312"/>
          <w:sz w:val="32"/>
          <w:szCs w:val="32"/>
          <w:lang w:val="en-US" w:eastAsia="zh-CN"/>
        </w:rPr>
        <w:t>下降5.72</w:t>
      </w:r>
      <w:r>
        <w:rPr>
          <w:rFonts w:hint="eastAsia" w:ascii="仿宋_GB2312" w:eastAsia="仿宋_GB2312"/>
          <w:sz w:val="32"/>
          <w:szCs w:val="32"/>
        </w:rPr>
        <w:t>%。主要是</w:t>
      </w:r>
      <w:r>
        <w:rPr>
          <w:rFonts w:hint="eastAsia" w:ascii="仿宋_GB2312" w:eastAsia="仿宋_GB2312"/>
          <w:sz w:val="32"/>
          <w:szCs w:val="32"/>
          <w:lang w:val="en-US" w:eastAsia="zh-CN"/>
        </w:rPr>
        <w:t>基数的调整。</w:t>
      </w:r>
    </w:p>
    <w:p>
      <w:pPr>
        <w:ind w:firstLine="645"/>
        <w:rPr>
          <w:rFonts w:hint="eastAsia" w:ascii="仿宋_GB2312" w:eastAsia="仿宋_GB2312"/>
          <w:sz w:val="32"/>
          <w:szCs w:val="32"/>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1.30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增加0.02</w:t>
      </w:r>
      <w:r>
        <w:rPr>
          <w:rFonts w:hint="eastAsia" w:ascii="仿宋_GB2312" w:eastAsia="仿宋_GB2312"/>
          <w:sz w:val="32"/>
          <w:szCs w:val="32"/>
        </w:rPr>
        <w:t>万元，</w:t>
      </w:r>
      <w:r>
        <w:rPr>
          <w:rFonts w:hint="eastAsia" w:ascii="仿宋_GB2312" w:eastAsia="仿宋_GB2312"/>
          <w:sz w:val="32"/>
          <w:szCs w:val="32"/>
          <w:lang w:val="en-US" w:eastAsia="zh-CN"/>
        </w:rPr>
        <w:t>增长1.56</w:t>
      </w:r>
      <w:r>
        <w:rPr>
          <w:rFonts w:hint="eastAsia" w:ascii="仿宋_GB2312" w:eastAsia="仿宋_GB2312"/>
          <w:sz w:val="32"/>
          <w:szCs w:val="32"/>
        </w:rPr>
        <w:t>%。</w:t>
      </w:r>
      <w:r>
        <w:rPr>
          <w:rFonts w:hint="eastAsia" w:ascii="仿宋_GB2312" w:hAnsi="仿宋_GB2312" w:eastAsia="仿宋_GB2312" w:cs="仿宋_GB2312"/>
          <w:sz w:val="32"/>
          <w:szCs w:val="32"/>
        </w:rPr>
        <w:t>主要是人员增加及工资调整</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基层医疗卫生机构</w:t>
      </w:r>
      <w:r>
        <w:rPr>
          <w:rFonts w:hint="eastAsia" w:ascii="仿宋_GB2312" w:eastAsia="仿宋_GB2312"/>
          <w:sz w:val="32"/>
          <w:szCs w:val="32"/>
        </w:rPr>
        <w:t>（款）</w:t>
      </w:r>
      <w:r>
        <w:rPr>
          <w:rFonts w:hint="eastAsia" w:ascii="仿宋_GB2312" w:eastAsia="仿宋_GB2312"/>
          <w:sz w:val="32"/>
          <w:szCs w:val="32"/>
          <w:lang w:val="en-US" w:eastAsia="zh-CN"/>
        </w:rPr>
        <w:t>乡镇卫生院</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208.71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增加20.44</w:t>
      </w:r>
      <w:r>
        <w:rPr>
          <w:rFonts w:hint="eastAsia" w:ascii="仿宋_GB2312" w:eastAsia="仿宋_GB2312"/>
          <w:sz w:val="32"/>
          <w:szCs w:val="32"/>
        </w:rPr>
        <w:t>万元，</w:t>
      </w:r>
      <w:r>
        <w:rPr>
          <w:rFonts w:hint="eastAsia" w:ascii="仿宋_GB2312" w:eastAsia="仿宋_GB2312"/>
          <w:sz w:val="32"/>
          <w:szCs w:val="32"/>
          <w:lang w:val="en-US" w:eastAsia="zh-CN"/>
        </w:rPr>
        <w:t>增长10.86</w:t>
      </w:r>
      <w:r>
        <w:rPr>
          <w:rFonts w:hint="eastAsia" w:ascii="仿宋_GB2312" w:eastAsia="仿宋_GB2312"/>
          <w:sz w:val="32"/>
          <w:szCs w:val="32"/>
        </w:rPr>
        <w:t>%。</w:t>
      </w:r>
      <w:r>
        <w:rPr>
          <w:rFonts w:hint="eastAsia" w:ascii="仿宋_GB2312" w:hAnsi="仿宋_GB2312" w:eastAsia="仿宋_GB2312" w:cs="仿宋_GB2312"/>
          <w:sz w:val="32"/>
          <w:szCs w:val="32"/>
        </w:rPr>
        <w:t>主要是人员增加及工资调整</w:t>
      </w:r>
      <w:r>
        <w:rPr>
          <w:rFonts w:hint="eastAsia" w:ascii="仿宋_GB2312" w:hAnsi="仿宋_GB2312" w:eastAsia="仿宋_GB2312" w:cs="仿宋_GB2312"/>
          <w:sz w:val="32"/>
          <w:szCs w:val="32"/>
          <w:lang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6、</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公共卫生</w:t>
      </w:r>
      <w:r>
        <w:rPr>
          <w:rFonts w:hint="eastAsia" w:ascii="仿宋_GB2312" w:eastAsia="仿宋_GB2312"/>
          <w:sz w:val="32"/>
          <w:szCs w:val="32"/>
        </w:rPr>
        <w:t>（款）</w:t>
      </w:r>
      <w:r>
        <w:rPr>
          <w:rFonts w:hint="eastAsia" w:ascii="仿宋_GB2312" w:eastAsia="仿宋_GB2312"/>
          <w:sz w:val="32"/>
          <w:szCs w:val="32"/>
          <w:lang w:val="en-US" w:eastAsia="zh-CN"/>
        </w:rPr>
        <w:t>基本公共卫生服务</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减少5.49</w:t>
      </w:r>
      <w:r>
        <w:rPr>
          <w:rFonts w:hint="eastAsia" w:ascii="仿宋_GB2312" w:eastAsia="仿宋_GB2312"/>
          <w:sz w:val="32"/>
          <w:szCs w:val="32"/>
        </w:rPr>
        <w:t>万元，</w:t>
      </w:r>
      <w:r>
        <w:rPr>
          <w:rFonts w:hint="eastAsia" w:ascii="仿宋_GB2312" w:eastAsia="仿宋_GB2312"/>
          <w:sz w:val="32"/>
          <w:szCs w:val="32"/>
          <w:lang w:val="en-US" w:eastAsia="zh-CN"/>
        </w:rPr>
        <w:t>下降100.00</w:t>
      </w:r>
      <w:r>
        <w:rPr>
          <w:rFonts w:hint="eastAsia" w:ascii="仿宋_GB2312" w:eastAsia="仿宋_GB2312"/>
          <w:sz w:val="32"/>
          <w:szCs w:val="32"/>
        </w:rPr>
        <w:t>%。主要是</w:t>
      </w:r>
      <w:r>
        <w:rPr>
          <w:rFonts w:hint="eastAsia" w:ascii="仿宋_GB2312" w:eastAsia="仿宋_GB2312"/>
          <w:sz w:val="32"/>
          <w:szCs w:val="32"/>
          <w:lang w:val="en-US" w:eastAsia="zh-CN"/>
        </w:rPr>
        <w:t>服务人口下降。</w:t>
      </w:r>
    </w:p>
    <w:p>
      <w:pPr>
        <w:ind w:firstLine="645"/>
        <w:rPr>
          <w:rFonts w:hint="eastAsia" w:ascii="仿宋_GB2312" w:eastAsia="仿宋_GB2312"/>
          <w:sz w:val="32"/>
          <w:szCs w:val="32"/>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11.73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减少2.98</w:t>
      </w:r>
      <w:r>
        <w:rPr>
          <w:rFonts w:hint="eastAsia" w:ascii="仿宋_GB2312" w:eastAsia="仿宋_GB2312"/>
          <w:sz w:val="32"/>
          <w:szCs w:val="32"/>
        </w:rPr>
        <w:t>万元，</w:t>
      </w:r>
      <w:r>
        <w:rPr>
          <w:rFonts w:hint="eastAsia" w:ascii="仿宋_GB2312" w:eastAsia="仿宋_GB2312"/>
          <w:sz w:val="32"/>
          <w:szCs w:val="32"/>
          <w:lang w:val="en-US" w:eastAsia="zh-CN"/>
        </w:rPr>
        <w:t>下降20.26</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主要是</w:t>
      </w:r>
      <w:r>
        <w:rPr>
          <w:rFonts w:hint="eastAsia" w:ascii="仿宋_GB2312" w:eastAsia="仿宋_GB2312"/>
          <w:sz w:val="32"/>
          <w:szCs w:val="32"/>
          <w:lang w:val="en-US" w:eastAsia="zh-CN"/>
        </w:rPr>
        <w:t>基数的调整。</w:t>
      </w:r>
    </w:p>
    <w:p>
      <w:pPr>
        <w:ind w:firstLine="645"/>
        <w:rPr>
          <w:rFonts w:hint="eastAsia" w:ascii="仿宋_GB2312" w:eastAsia="仿宋_GB2312"/>
          <w:sz w:val="32"/>
          <w:szCs w:val="32"/>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11.55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增加0.19</w:t>
      </w:r>
      <w:r>
        <w:rPr>
          <w:rFonts w:hint="eastAsia" w:ascii="仿宋_GB2312" w:eastAsia="仿宋_GB2312"/>
          <w:sz w:val="32"/>
          <w:szCs w:val="32"/>
        </w:rPr>
        <w:t>万元，</w:t>
      </w:r>
      <w:r>
        <w:rPr>
          <w:rFonts w:hint="eastAsia" w:ascii="仿宋_GB2312" w:eastAsia="仿宋_GB2312"/>
          <w:sz w:val="32"/>
          <w:szCs w:val="32"/>
          <w:lang w:val="en-US" w:eastAsia="zh-CN"/>
        </w:rPr>
        <w:t>增长1.67</w:t>
      </w:r>
      <w:r>
        <w:rPr>
          <w:rFonts w:hint="eastAsia" w:ascii="仿宋_GB2312" w:eastAsia="仿宋_GB2312"/>
          <w:sz w:val="32"/>
          <w:szCs w:val="32"/>
        </w:rPr>
        <w:t>%。主要是</w:t>
      </w:r>
      <w:r>
        <w:rPr>
          <w:rFonts w:hint="eastAsia" w:ascii="仿宋_GB2312" w:hAnsi="仿宋_GB2312" w:eastAsia="仿宋_GB2312" w:cs="仿宋_GB2312"/>
          <w:sz w:val="32"/>
          <w:szCs w:val="32"/>
        </w:rPr>
        <w:t>人员增加及工资调整</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9、</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23.31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增加6.23</w:t>
      </w:r>
      <w:r>
        <w:rPr>
          <w:rFonts w:hint="eastAsia" w:ascii="仿宋_GB2312" w:eastAsia="仿宋_GB2312"/>
          <w:sz w:val="32"/>
          <w:szCs w:val="32"/>
        </w:rPr>
        <w:t>万元，</w:t>
      </w:r>
      <w:r>
        <w:rPr>
          <w:rFonts w:hint="eastAsia" w:ascii="仿宋_GB2312" w:eastAsia="仿宋_GB2312"/>
          <w:sz w:val="32"/>
          <w:szCs w:val="32"/>
          <w:lang w:val="en-US" w:eastAsia="zh-CN"/>
        </w:rPr>
        <w:t>增长36.48</w:t>
      </w:r>
      <w:r>
        <w:rPr>
          <w:rFonts w:hint="eastAsia" w:ascii="仿宋_GB2312" w:eastAsia="仿宋_GB2312"/>
          <w:sz w:val="32"/>
          <w:szCs w:val="32"/>
        </w:rPr>
        <w:t>%。主要是</w:t>
      </w:r>
      <w:r>
        <w:rPr>
          <w:rFonts w:hint="eastAsia" w:ascii="仿宋_GB2312" w:hAnsi="仿宋_GB2312" w:eastAsia="仿宋_GB2312" w:cs="仿宋_GB2312"/>
          <w:sz w:val="32"/>
          <w:szCs w:val="32"/>
        </w:rPr>
        <w:t>人员增加及工资调整</w:t>
      </w:r>
      <w:r>
        <w:rPr>
          <w:rFonts w:hint="eastAsia" w:ascii="仿宋_GB2312" w:eastAsia="仿宋_GB2312"/>
          <w:sz w:val="32"/>
          <w:szCs w:val="32"/>
          <w:lang w:val="en-US" w:eastAsia="zh-CN"/>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湟源县巴燕乡卫生院2023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湟源县巴燕乡卫生院2023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299.80</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291.54</w:t>
      </w:r>
      <w:r>
        <w:rPr>
          <w:rFonts w:hint="eastAsia" w:ascii="仿宋_GB2312" w:eastAsia="仿宋_GB2312"/>
          <w:sz w:val="32"/>
          <w:szCs w:val="32"/>
        </w:rPr>
        <w:t>万元，主要包括：</w:t>
      </w:r>
      <w:r>
        <w:rPr>
          <w:rFonts w:hint="eastAsia" w:ascii="仿宋_GB2312" w:eastAsia="仿宋_GB2312"/>
          <w:sz w:val="32"/>
          <w:szCs w:val="32"/>
          <w:lang w:val="en-US" w:eastAsia="zh-CN"/>
        </w:rPr>
        <w:t>基本工资51.61万元、津贴补贴63.98万元、绩效工资84.86万元、机关事业单位基本养老保险缴费23.85万元、职业年金缴费11.93万元、职工基本医疗保险缴费9.40万元、公务员医疗补助缴费11.55万元、其他社会保障缴费1.30万元、住房公积金23.31万元、退休费7.42万元、医疗费补助2.33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8.26</w:t>
      </w:r>
      <w:r>
        <w:rPr>
          <w:rFonts w:hint="eastAsia" w:ascii="仿宋_GB2312" w:eastAsia="仿宋_GB2312"/>
          <w:sz w:val="32"/>
          <w:szCs w:val="32"/>
        </w:rPr>
        <w:t>万元，主要包括：</w:t>
      </w:r>
      <w:r>
        <w:rPr>
          <w:rFonts w:hint="eastAsia" w:ascii="仿宋_GB2312" w:eastAsia="仿宋_GB2312"/>
          <w:sz w:val="32"/>
          <w:szCs w:val="32"/>
          <w:lang w:val="en-US" w:eastAsia="zh-CN"/>
        </w:rPr>
        <w:t>办公费0.42万元、水费0.28万元、电费0.28万元、邮电费0.70万元、取暖费1.40万元、差旅费0.56万元、公务接待费0.28万元、工会经费2.89万元、公务用车运行维护费0.80万元、其他商品和服务支出0.65万元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湟源县巴燕乡卫生院2023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湟源县巴燕乡卫生院2023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1.08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增加0.00</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0.80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万元；公务接待费</w:t>
      </w:r>
      <w:r>
        <w:rPr>
          <w:rFonts w:hint="eastAsia" w:ascii="仿宋_GB2312" w:eastAsia="仿宋_GB2312"/>
          <w:sz w:val="32"/>
          <w:szCs w:val="32"/>
          <w:lang w:val="en-US" w:eastAsia="zh-CN"/>
        </w:rPr>
        <w:t>0.28</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年“三公”经费预算</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w:t>
      </w:r>
      <w:r>
        <w:rPr>
          <w:rFonts w:hint="eastAsia" w:ascii="仿宋_GB2312" w:eastAsia="仿宋_GB2312"/>
          <w:sz w:val="32"/>
          <w:szCs w:val="32"/>
        </w:rPr>
        <w:t>主要是</w:t>
      </w:r>
      <w:r>
        <w:rPr>
          <w:rFonts w:hint="eastAsia" w:ascii="仿宋_GB2312" w:eastAsia="仿宋_GB2312"/>
          <w:sz w:val="32"/>
          <w:szCs w:val="32"/>
          <w:lang w:val="en-US" w:eastAsia="zh-CN"/>
        </w:rPr>
        <w:t>因疫情公务用车运行维护费的增加</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湟源县巴燕乡卫生院2023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湟源县巴燕乡卫生院2023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default" w:ascii="仿宋_GB2312" w:hAnsi="仿宋" w:eastAsia="仿宋_GB2312"/>
          <w:spacing w:val="-6"/>
          <w:kern w:val="2"/>
          <w:sz w:val="32"/>
          <w:szCs w:val="32"/>
          <w:lang w:val="en-US" w:eastAsia="zh-CN"/>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湟源县巴燕乡卫生院</w:t>
      </w:r>
      <w:r>
        <w:rPr>
          <w:rFonts w:hint="eastAsia" w:ascii="仿宋_GB2312" w:hAnsi="仿宋" w:eastAsia="仿宋_GB2312"/>
          <w:spacing w:val="-6"/>
          <w:kern w:val="2"/>
          <w:sz w:val="32"/>
          <w:szCs w:val="32"/>
          <w:lang w:val="en-US"/>
        </w:rPr>
        <w:t>机关运行经费财政拨款预算8.26万元，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预算增加0.0</w:t>
      </w:r>
      <w:r>
        <w:rPr>
          <w:rFonts w:hint="eastAsia" w:ascii="仿宋_GB2312" w:hAnsi="仿宋" w:eastAsia="仿宋_GB2312"/>
          <w:spacing w:val="-6"/>
          <w:kern w:val="2"/>
          <w:sz w:val="32"/>
          <w:szCs w:val="32"/>
          <w:lang w:val="en-US" w:eastAsia="zh-CN"/>
        </w:rPr>
        <w:t>4</w:t>
      </w:r>
      <w:r>
        <w:rPr>
          <w:rFonts w:hint="eastAsia" w:ascii="仿宋_GB2312" w:hAnsi="仿宋" w:eastAsia="仿宋_GB2312"/>
          <w:spacing w:val="-6"/>
          <w:kern w:val="2"/>
          <w:sz w:val="32"/>
          <w:szCs w:val="32"/>
          <w:lang w:val="en-US"/>
        </w:rPr>
        <w:t>万元，增长0.49%。主要是</w:t>
      </w:r>
      <w:r>
        <w:rPr>
          <w:rFonts w:hint="eastAsia" w:ascii="仿宋_GB2312" w:eastAsia="仿宋_GB2312"/>
          <w:sz w:val="32"/>
          <w:szCs w:val="32"/>
          <w:lang w:val="en-US" w:eastAsia="zh-CN"/>
        </w:rPr>
        <w:t>公务用车运行维护费的增加。</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湟源县巴燕乡卫生院各单位</w:t>
      </w:r>
      <w:r>
        <w:rPr>
          <w:rFonts w:hint="eastAsia" w:ascii="仿宋_GB2312" w:hAnsi="仿宋" w:eastAsia="仿宋_GB2312"/>
          <w:spacing w:val="-6"/>
          <w:kern w:val="2"/>
          <w:sz w:val="32"/>
          <w:szCs w:val="32"/>
          <w:lang w:val="en-US"/>
        </w:rPr>
        <w:t>政府采购预算总额</w:t>
      </w:r>
      <w:r>
        <w:rPr>
          <w:rFonts w:hint="eastAsia" w:ascii="仿宋_GB2312" w:hAnsi="仿宋" w:eastAsia="仿宋_GB2312"/>
          <w:spacing w:val="-6"/>
          <w:kern w:val="2"/>
          <w:sz w:val="32"/>
          <w:szCs w:val="32"/>
          <w:lang w:val="en-US" w:eastAsia="zh-CN"/>
        </w:rPr>
        <w:t>5.01</w:t>
      </w:r>
      <w:r>
        <w:rPr>
          <w:rFonts w:hint="eastAsia" w:ascii="仿宋_GB2312" w:hAnsi="仿宋" w:eastAsia="仿宋_GB2312"/>
          <w:spacing w:val="-6"/>
          <w:kern w:val="2"/>
          <w:sz w:val="32"/>
          <w:szCs w:val="32"/>
          <w:lang w:val="en-US"/>
        </w:rPr>
        <w:t>万元，其中：政府采购货物预算</w:t>
      </w:r>
      <w:r>
        <w:rPr>
          <w:rFonts w:hint="eastAsia" w:ascii="仿宋_GB2312" w:hAnsi="仿宋" w:eastAsia="仿宋_GB2312"/>
          <w:spacing w:val="-6"/>
          <w:kern w:val="2"/>
          <w:sz w:val="32"/>
          <w:szCs w:val="32"/>
          <w:lang w:val="en-US" w:eastAsia="zh-CN"/>
        </w:rPr>
        <w:t>5.01</w:t>
      </w:r>
      <w:r>
        <w:rPr>
          <w:rFonts w:hint="eastAsia" w:ascii="仿宋_GB2312" w:hAnsi="仿宋" w:eastAsia="仿宋_GB2312"/>
          <w:spacing w:val="-6"/>
          <w:kern w:val="2"/>
          <w:sz w:val="32"/>
          <w:szCs w:val="32"/>
          <w:lang w:val="en-US"/>
        </w:rPr>
        <w:t>万元、政府采购工程预算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万元、政府采购服务预算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月底，</w:t>
      </w:r>
      <w:r>
        <w:rPr>
          <w:rFonts w:hint="eastAsia" w:ascii="仿宋_GB2312" w:hAnsi="仿宋" w:eastAsia="仿宋_GB2312"/>
          <w:spacing w:val="-6"/>
          <w:kern w:val="2"/>
          <w:sz w:val="32"/>
          <w:szCs w:val="32"/>
          <w:lang w:val="en-US" w:eastAsia="zh-CN"/>
        </w:rPr>
        <w:t>湟源县巴燕乡卫生院所属各预算单位</w:t>
      </w:r>
      <w:r>
        <w:rPr>
          <w:rFonts w:hint="eastAsia" w:ascii="仿宋_GB2312" w:hAnsi="仿宋" w:eastAsia="仿宋_GB2312"/>
          <w:spacing w:val="-6"/>
          <w:kern w:val="2"/>
          <w:sz w:val="32"/>
          <w:szCs w:val="32"/>
          <w:lang w:val="en-US"/>
        </w:rPr>
        <w:t>共有车辆</w:t>
      </w:r>
      <w:r>
        <w:rPr>
          <w:rFonts w:hint="eastAsia" w:ascii="仿宋_GB2312" w:hAnsi="仿宋" w:eastAsia="仿宋_GB2312"/>
          <w:spacing w:val="-6"/>
          <w:kern w:val="2"/>
          <w:sz w:val="32"/>
          <w:szCs w:val="32"/>
          <w:lang w:val="en-US" w:eastAsia="zh-CN"/>
        </w:rPr>
        <w:t>1</w:t>
      </w:r>
      <w:r>
        <w:rPr>
          <w:rFonts w:hint="eastAsia" w:ascii="仿宋_GB2312" w:hAnsi="仿宋" w:eastAsia="仿宋_GB2312"/>
          <w:spacing w:val="-6"/>
          <w:kern w:val="2"/>
          <w:sz w:val="32"/>
          <w:szCs w:val="32"/>
          <w:lang w:val="en-US"/>
        </w:rPr>
        <w:t>辆，其中，省级领导干部用车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辆、厅级领导干部用车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辆、一般公务用车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辆、一般执法执勤用车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辆、特种专业技术用车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辆、其他用车</w:t>
      </w:r>
      <w:r>
        <w:rPr>
          <w:rFonts w:hint="eastAsia" w:ascii="仿宋_GB2312" w:hAnsi="仿宋" w:eastAsia="仿宋_GB2312"/>
          <w:spacing w:val="-6"/>
          <w:kern w:val="2"/>
          <w:sz w:val="32"/>
          <w:szCs w:val="32"/>
          <w:lang w:val="en-US" w:eastAsia="zh-CN"/>
        </w:rPr>
        <w:t>1</w:t>
      </w:r>
      <w:r>
        <w:rPr>
          <w:rFonts w:hint="eastAsia" w:ascii="仿宋_GB2312" w:hAnsi="仿宋" w:eastAsia="仿宋_GB2312"/>
          <w:spacing w:val="-6"/>
          <w:kern w:val="2"/>
          <w:sz w:val="32"/>
          <w:szCs w:val="32"/>
          <w:lang w:val="en-US"/>
        </w:rPr>
        <w:t>辆。单价50万元以上通用设备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台（套），单价100万元以上专用设备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湟源县巴燕乡卫生院</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0.00</w:t>
      </w:r>
      <w:r>
        <w:rPr>
          <w:rFonts w:hint="eastAsia" w:ascii="仿宋_GB2312" w:hAnsi="仿宋" w:eastAsia="仿宋_GB2312"/>
          <w:spacing w:val="-6"/>
          <w:kern w:val="2"/>
          <w:sz w:val="32"/>
          <w:szCs w:val="32"/>
          <w:lang w:val="en-US"/>
        </w:rPr>
        <w:t>万元。</w:t>
      </w: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二</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一</w:t>
      </w:r>
      <w:r>
        <w:rPr>
          <w:rFonts w:hint="eastAsia" w:ascii="仿宋_GB2312" w:eastAsia="仿宋_GB2312"/>
          <w:b/>
          <w:bCs/>
          <w:sz w:val="32"/>
          <w:szCs w:val="32"/>
          <w:lang w:eastAsia="zh-CN"/>
        </w:rPr>
        <w:t>）</w:t>
      </w:r>
      <w:r>
        <w:rPr>
          <w:rFonts w:hint="eastAsia" w:ascii="仿宋_GB2312" w:eastAsia="仿宋_GB2312"/>
          <w:b/>
          <w:bCs/>
          <w:sz w:val="32"/>
          <w:szCs w:val="32"/>
        </w:rPr>
        <w:t>社会保障和就业支出（类）行政事业单位养老支出（款）机关事业单位基本养老保险缴费支出（项）</w:t>
      </w:r>
      <w:r>
        <w:rPr>
          <w:rFonts w:hint="eastAsia" w:ascii="仿宋_GB2312" w:hAnsi="Times New Roman" w:eastAsia="仿宋_GB2312" w:cs="Times New Roman"/>
          <w:b/>
          <w:bCs/>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反映机关事业单位实施养老保险制度由单位缴纳的基本养老保险费支出。</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二</w:t>
      </w:r>
      <w:r>
        <w:rPr>
          <w:rFonts w:hint="eastAsia" w:ascii="仿宋_GB2312" w:eastAsia="仿宋_GB2312"/>
          <w:b/>
          <w:bCs/>
          <w:sz w:val="32"/>
          <w:szCs w:val="32"/>
          <w:lang w:eastAsia="zh-CN"/>
        </w:rPr>
        <w:t>）</w:t>
      </w:r>
      <w:r>
        <w:rPr>
          <w:rFonts w:hint="eastAsia" w:ascii="仿宋_GB2312" w:eastAsia="仿宋_GB2312"/>
          <w:b/>
          <w:bCs/>
          <w:sz w:val="32"/>
          <w:szCs w:val="32"/>
        </w:rPr>
        <w:t>社会保障和就业支出（类）行政事业单位养老支出（款）机关事业单位职业年金缴费支出（项）</w:t>
      </w:r>
      <w:r>
        <w:rPr>
          <w:rFonts w:hint="eastAsia" w:ascii="仿宋_GB2312" w:hAnsi="Times New Roman" w:eastAsia="仿宋_GB2312" w:cs="仿宋_GB2312"/>
          <w:b/>
          <w:bCs/>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反映机关事业单位实施养老保险制度由单位实际缴纳的职业年金支出。</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三</w:t>
      </w:r>
      <w:r>
        <w:rPr>
          <w:rFonts w:hint="eastAsia" w:ascii="仿宋_GB2312" w:eastAsia="仿宋_GB2312"/>
          <w:b/>
          <w:bCs/>
          <w:sz w:val="32"/>
          <w:szCs w:val="32"/>
          <w:lang w:eastAsia="zh-CN"/>
        </w:rPr>
        <w:t>）</w:t>
      </w:r>
      <w:r>
        <w:rPr>
          <w:rFonts w:hint="eastAsia" w:ascii="仿宋_GB2312" w:eastAsia="仿宋_GB2312"/>
          <w:b/>
          <w:bCs/>
          <w:sz w:val="32"/>
          <w:szCs w:val="32"/>
        </w:rPr>
        <w:t>卫生健康支出（类）行政事业单位医疗（款）事业单位医疗（项）</w:t>
      </w:r>
      <w:r>
        <w:rPr>
          <w:rFonts w:hint="eastAsia" w:ascii="仿宋_GB2312" w:eastAsia="仿宋_GB2312"/>
          <w:b/>
          <w:bCs/>
          <w:sz w:val="32"/>
          <w:szCs w:val="32"/>
          <w:lang w:eastAsia="zh-CN"/>
        </w:rPr>
        <w:t>：</w:t>
      </w:r>
      <w:r>
        <w:rPr>
          <w:rFonts w:hint="eastAsia" w:ascii="仿宋_GB2312" w:hAnsi="Times New Roman" w:eastAsia="仿宋_GB2312" w:cs="Times New Roman"/>
          <w:kern w:val="2"/>
          <w:sz w:val="32"/>
          <w:szCs w:val="32"/>
          <w:lang w:val="en-US" w:eastAsia="zh-CN" w:bidi="ar"/>
        </w:rPr>
        <w:t>反映财政部门安排的事业单位基本医疗保险缴费经费，未参加医疗保险的事业单位的公费医疗经费，按国家规定享受离休人员待遇的医疗经费。</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四</w:t>
      </w:r>
      <w:r>
        <w:rPr>
          <w:rFonts w:hint="eastAsia" w:ascii="仿宋_GB2312" w:eastAsia="仿宋_GB2312"/>
          <w:b/>
          <w:bCs/>
          <w:sz w:val="32"/>
          <w:szCs w:val="32"/>
          <w:lang w:eastAsia="zh-CN"/>
        </w:rPr>
        <w:t>）</w:t>
      </w:r>
      <w:r>
        <w:rPr>
          <w:rFonts w:hint="eastAsia" w:ascii="仿宋_GB2312" w:eastAsia="仿宋_GB2312"/>
          <w:b/>
          <w:bCs/>
          <w:sz w:val="32"/>
          <w:szCs w:val="32"/>
        </w:rPr>
        <w:t>卫生健康支出（类）行政事业单位医疗（款）公务员医疗补助（项）</w:t>
      </w:r>
      <w:r>
        <w:rPr>
          <w:rFonts w:hint="eastAsia" w:ascii="仿宋_GB2312" w:hAnsi="Times New Roman" w:eastAsia="仿宋_GB2312" w:cs="Times New Roman"/>
          <w:b/>
          <w:bCs/>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反映财政部门安排的公务员医疗补助经费。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五</w:t>
      </w:r>
      <w:r>
        <w:rPr>
          <w:rFonts w:hint="eastAsia" w:ascii="仿宋_GB2312" w:eastAsia="仿宋_GB2312"/>
          <w:b/>
          <w:bCs/>
          <w:sz w:val="32"/>
          <w:szCs w:val="32"/>
          <w:lang w:eastAsia="zh-CN"/>
        </w:rPr>
        <w:t>）社会保障和就业支出（类）行政事业单位养老支出（款）其他行政事业单位养老支出（项）：</w:t>
      </w:r>
      <w:r>
        <w:rPr>
          <w:rFonts w:hint="eastAsia" w:ascii="仿宋_GB2312" w:eastAsia="仿宋_GB2312"/>
          <w:b w:val="0"/>
          <w:bCs w:val="0"/>
          <w:sz w:val="32"/>
          <w:szCs w:val="32"/>
          <w:lang w:eastAsia="zh-CN"/>
        </w:rPr>
        <w:t>反映除上述项目以外其他用于行政事业单位养老方面的支出。</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六</w:t>
      </w:r>
      <w:r>
        <w:rPr>
          <w:rFonts w:hint="eastAsia" w:ascii="仿宋_GB2312" w:eastAsia="仿宋_GB2312"/>
          <w:b/>
          <w:bCs/>
          <w:sz w:val="32"/>
          <w:szCs w:val="32"/>
          <w:lang w:eastAsia="zh-CN"/>
        </w:rPr>
        <w:t>）</w:t>
      </w:r>
      <w:r>
        <w:rPr>
          <w:rFonts w:hint="eastAsia" w:ascii="仿宋_GB2312" w:eastAsia="仿宋_GB2312"/>
          <w:b/>
          <w:bCs/>
          <w:sz w:val="32"/>
          <w:szCs w:val="32"/>
        </w:rPr>
        <w:t>住房保障支出（类）住房改革支出（款）住房公积金（项）</w:t>
      </w:r>
      <w:r>
        <w:rPr>
          <w:rFonts w:hint="eastAsia" w:ascii="仿宋_GB2312" w:hAnsi="Times New Roman" w:eastAsia="仿宋_GB2312" w:cs="Times New Roman"/>
          <w:b/>
          <w:bCs/>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反映行政事业单位按人力资源和社会保障部、财政部规定的基本工资和津贴补贴以及规定比例为职工缴纳的住房公积金。</w:t>
      </w:r>
    </w:p>
    <w:p>
      <w:pPr>
        <w:ind w:firstLine="643" w:firstLineChars="200"/>
        <w:rPr>
          <w:rFonts w:hint="eastAsia" w:ascii="黑体" w:hAnsi="宋体" w:eastAsia="黑体"/>
          <w:color w:val="000000"/>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七</w:t>
      </w:r>
      <w:r>
        <w:rPr>
          <w:rFonts w:hint="eastAsia" w:ascii="仿宋_GB2312" w:eastAsia="仿宋_GB2312"/>
          <w:b/>
          <w:bCs/>
          <w:sz w:val="32"/>
          <w:szCs w:val="32"/>
          <w:lang w:eastAsia="zh-CN"/>
        </w:rPr>
        <w:t>）</w:t>
      </w:r>
      <w:r>
        <w:rPr>
          <w:rFonts w:hint="eastAsia" w:ascii="仿宋_GB2312" w:eastAsia="仿宋_GB2312"/>
          <w:b/>
          <w:bCs/>
          <w:sz w:val="32"/>
          <w:szCs w:val="32"/>
        </w:rPr>
        <w:t>卫生健康支出（类）基层医疗卫生机构（款）乡镇卫生院（项）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反映用于乡镇卫生院的支出。</w:t>
      </w:r>
    </w:p>
    <w:p>
      <w:pPr>
        <w:ind w:firstLine="643" w:firstLineChars="200"/>
        <w:rPr>
          <w:rFonts w:hint="eastAsia" w:ascii="仿宋_GB2312" w:eastAsia="仿宋_GB2312"/>
          <w:b w:val="0"/>
          <w:bCs w:val="0"/>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八</w:t>
      </w:r>
      <w:r>
        <w:rPr>
          <w:rFonts w:hint="eastAsia" w:ascii="仿宋_GB2312" w:eastAsia="仿宋_GB2312"/>
          <w:b/>
          <w:bCs/>
          <w:sz w:val="32"/>
          <w:szCs w:val="32"/>
          <w:lang w:eastAsia="zh-CN"/>
        </w:rPr>
        <w:t>）卫生健康支出（类）公共卫生（款）基本公共卫生服务（项）：</w:t>
      </w:r>
      <w:r>
        <w:rPr>
          <w:rFonts w:hint="eastAsia" w:ascii="仿宋_GB2312" w:eastAsia="仿宋_GB2312"/>
          <w:b w:val="0"/>
          <w:bCs w:val="0"/>
          <w:sz w:val="32"/>
          <w:szCs w:val="32"/>
          <w:lang w:eastAsia="zh-CN"/>
        </w:rPr>
        <w:t>反映基本公共卫生服务支出。</w:t>
      </w:r>
    </w:p>
    <w:p>
      <w:pPr>
        <w:ind w:firstLine="643" w:firstLineChars="200"/>
        <w:rPr>
          <w:rFonts w:hint="eastAsia" w:ascii="仿宋_GB2312" w:eastAsia="仿宋_GB2312"/>
          <w:b w:val="0"/>
          <w:bCs w:val="0"/>
          <w:sz w:val="32"/>
          <w:szCs w:val="32"/>
          <w:lang w:eastAsia="zh-CN"/>
        </w:rPr>
      </w:pPr>
      <w:r>
        <w:rPr>
          <w:rFonts w:hint="eastAsia" w:ascii="仿宋_GB2312" w:eastAsia="仿宋_GB2312"/>
          <w:b/>
          <w:bCs/>
          <w:sz w:val="32"/>
          <w:szCs w:val="32"/>
          <w:lang w:val="en-US" w:eastAsia="zh-CN"/>
        </w:rPr>
        <w:t>（九）社会保障和就业支出（类）其他社会保障和就业支出（款）其他社会保障和就业支出（项）：</w:t>
      </w:r>
      <w:r>
        <w:rPr>
          <w:rFonts w:hint="eastAsia" w:ascii="仿宋_GB2312" w:eastAsia="仿宋_GB2312"/>
          <w:b w:val="0"/>
          <w:bCs w:val="0"/>
          <w:sz w:val="32"/>
          <w:szCs w:val="32"/>
          <w:lang w:eastAsia="zh-CN"/>
        </w:rPr>
        <w:t>反映除上述项目以外其他用于社会保障和就业方面的支出。</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15</w:t>
    </w:r>
    <w:r>
      <w:rPr>
        <w:rStyle w:val="8"/>
      </w:rPr>
      <w:fldChar w:fldCharType="end"/>
    </w:r>
  </w:p>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TlhNzU0M2RhYjI4ZTJkZWE2MzE1ZjA1OTNlN2Y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C24F4D"/>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26427"/>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45E54"/>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6C22B99"/>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3E80F0D"/>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2D26"/>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3F923AC"/>
    <w:rsid w:val="54446A80"/>
    <w:rsid w:val="54622056"/>
    <w:rsid w:val="54776BB6"/>
    <w:rsid w:val="548457F1"/>
    <w:rsid w:val="549F0B68"/>
    <w:rsid w:val="54AB5BF1"/>
    <w:rsid w:val="54AB6860"/>
    <w:rsid w:val="54EE29C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6D54BB"/>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BC2426"/>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next w:val="1"/>
    <w:qFormat/>
    <w:uiPriority w:val="0"/>
    <w:pPr>
      <w:spacing w:before="100" w:beforeAutospacing="1" w:after="100" w:afterAutospacing="1"/>
      <w:outlineLvl w:val="0"/>
    </w:pPr>
    <w:rPr>
      <w:rFonts w:ascii="宋体" w:hAnsi="宋体" w:eastAsia="宋体" w:cs="宋体"/>
      <w:b/>
      <w:bCs/>
      <w:kern w:val="36"/>
      <w:sz w:val="48"/>
      <w:szCs w:val="48"/>
      <w:lang w:val="en-US" w:eastAsia="zh-CN" w:bidi="ar-SA"/>
    </w:rPr>
  </w:style>
  <w:style w:type="character" w:default="1" w:styleId="7">
    <w:name w:val="Default Paragraph Font"/>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3">
    <w:name w:val="Balloon Text"/>
    <w:basedOn w:val="1"/>
    <w:link w:val="9"/>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批注框文本 Char"/>
    <w:link w:val="3"/>
    <w:semiHidden/>
    <w:qFormat/>
    <w:uiPriority w:val="99"/>
    <w:rPr>
      <w:rFonts w:ascii="Times New Roman" w:hAnsi="Times New Roman"/>
      <w:kern w:val="2"/>
      <w:sz w:val="18"/>
      <w:szCs w:val="18"/>
    </w:rPr>
  </w:style>
  <w:style w:type="character" w:customStyle="1" w:styleId="10">
    <w:name w:val="页脚 Char"/>
    <w:link w:val="4"/>
    <w:qFormat/>
    <w:uiPriority w:val="99"/>
    <w:rPr>
      <w:rFonts w:ascii="Times New Roman" w:hAnsi="Times New Roman"/>
      <w:kern w:val="2"/>
      <w:sz w:val="18"/>
      <w:szCs w:val="18"/>
    </w:rPr>
  </w:style>
  <w:style w:type="character" w:customStyle="1" w:styleId="11">
    <w:name w:val="页眉 Char"/>
    <w:link w:val="5"/>
    <w:qFormat/>
    <w:uiPriority w:val="99"/>
    <w:rPr>
      <w:rFonts w:ascii="Times New Roman" w:hAnsi="Times New Roman"/>
      <w:kern w:val="2"/>
      <w:sz w:val="18"/>
      <w:szCs w:val="18"/>
    </w:rPr>
  </w:style>
  <w:style w:type="paragraph" w:styleId="12">
    <w:name w:val="List Paragraph"/>
    <w:basedOn w:val="1"/>
    <w:qFormat/>
    <w:uiPriority w:val="34"/>
    <w:pPr>
      <w:ind w:firstLine="420" w:firstLineChars="200"/>
    </w:pPr>
  </w:style>
  <w:style w:type="paragraph" w:styleId="13">
    <w:name w:val="No Spacing"/>
    <w:link w:val="14"/>
    <w:qFormat/>
    <w:uiPriority w:val="0"/>
    <w:rPr>
      <w:rFonts w:ascii="Calibri" w:hAnsi="Calibri" w:eastAsia="宋体" w:cs="Times New Roman"/>
      <w:sz w:val="22"/>
      <w:szCs w:val="22"/>
      <w:lang w:val="en-US" w:eastAsia="zh-CN" w:bidi="ar-SA"/>
    </w:rPr>
  </w:style>
  <w:style w:type="character" w:customStyle="1" w:styleId="14">
    <w:name w:val="无间隔 Char"/>
    <w:link w:val="13"/>
    <w:qFormat/>
    <w:uiPriority w:val="0"/>
    <w:rPr>
      <w:sz w:val="22"/>
      <w:szCs w:val="22"/>
      <w:lang w:bidi="ar-SA"/>
    </w:rPr>
  </w:style>
  <w:style w:type="paragraph" w:customStyle="1" w:styleId="15">
    <w:name w:val="正文1"/>
    <w:basedOn w:val="1"/>
    <w:qFormat/>
    <w:uiPriority w:val="0"/>
    <w:pPr>
      <w:widowControl/>
    </w:pPr>
    <w:rPr>
      <w:rFonts w:eastAsia="Times New Roman"/>
      <w:kern w:val="0"/>
      <w:lang w:val="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5747</Words>
  <Characters>6944</Characters>
  <Lines>43</Lines>
  <Paragraphs>12</Paragraphs>
  <TotalTime>10</TotalTime>
  <ScaleCrop>false</ScaleCrop>
  <LinksUpToDate>false</LinksUpToDate>
  <CharactersWithSpaces>7041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大琹</cp:lastModifiedBy>
  <cp:lastPrinted>2021-01-31T19:43:00Z</cp:lastPrinted>
  <dcterms:modified xsi:type="dcterms:W3CDTF">2023-06-08T02:44:13Z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7BB7823829AC42B1B9A45F4513E27931_13</vt:lpwstr>
  </property>
</Properties>
</file>