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2"/>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2"/>
              <w:jc w:val="center"/>
              <w:rPr>
                <w:rFonts w:ascii="Cambria" w:hAnsi="Cambria"/>
                <w:b/>
                <w:sz w:val="80"/>
                <w:szCs w:val="80"/>
              </w:rPr>
            </w:pPr>
            <w:r>
              <w:rPr>
                <w:rFonts w:hint="eastAsia" w:ascii="Cambria" w:hAnsi="Cambria"/>
                <w:b/>
                <w:sz w:val="80"/>
                <w:szCs w:val="80"/>
              </w:rPr>
              <w:t>湟源县巴燕乡中心学校</w:t>
            </w:r>
          </w:p>
        </w:tc>
      </w:tr>
      <w:tr>
        <w:trPr>
          <w:trHeight w:val="720" w:hRule="atLeast"/>
          <w:jc w:val="center"/>
        </w:trPr>
        <w:tc>
          <w:tcPr>
            <w:tcW w:w="5000" w:type="pct"/>
            <w:tcBorders>
              <w:top w:val="single" w:color="4F81BD" w:sz="4" w:space="0"/>
            </w:tcBorders>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青海省西宁市湟源县巴燕乡中心学校是九年一贯制学校。学校全面贯彻执行党的教育方针，按照国家有关法律、法规，依法办校依法治校，培养学生的创新精神与实践能力，使学生成为社会主义事业的建设者和接班人。负责湟源县巴燕乡中心学校九年义务阶段教育教学工作和所辖3所幼儿园教育教学工作。</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ascii="仿宋_GB2312" w:hAnsi="仿宋" w:eastAsia="仿宋_GB2312"/>
          <w:sz w:val="32"/>
          <w:szCs w:val="32"/>
        </w:rPr>
      </w:pPr>
      <w:r>
        <w:rPr>
          <w:rFonts w:hint="eastAsia" w:ascii="仿宋_GB2312" w:hAnsi="仿宋" w:eastAsia="仿宋_GB2312"/>
          <w:sz w:val="32"/>
          <w:szCs w:val="32"/>
        </w:rPr>
        <w:t>2023年度</w:t>
      </w:r>
      <w:r>
        <w:rPr>
          <w:rFonts w:hint="eastAsia" w:ascii="仿宋_GB2312" w:hAnsi="仿宋" w:eastAsia="仿宋_GB2312"/>
          <w:sz w:val="32"/>
          <w:szCs w:val="32"/>
          <w:lang w:val="en-US" w:eastAsia="zh-CN"/>
        </w:rPr>
        <w:t>预</w:t>
      </w:r>
      <w:bookmarkStart w:id="6" w:name="_GoBack"/>
      <w:bookmarkEnd w:id="6"/>
      <w:r>
        <w:rPr>
          <w:rFonts w:hint="eastAsia" w:ascii="仿宋_GB2312" w:hAnsi="仿宋" w:eastAsia="仿宋_GB2312"/>
          <w:sz w:val="32"/>
          <w:szCs w:val="32"/>
        </w:rPr>
        <w:t>算编制范围包括各级预算单位1个，无下一级预算单位。中心学校内设校长1人，副校长1人；下设学校办公室、教务处、德育处、总务处、党办、团队室等。下辖3所幼儿园。</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纳入湟源县巴燕乡中心学校</w:t>
      </w:r>
      <w:r>
        <w:rPr>
          <w:rFonts w:hint="eastAsia" w:ascii="仿宋_GB2312" w:hAnsi="仿宋" w:eastAsia="仿宋_GB2312"/>
          <w:sz w:val="32"/>
          <w:szCs w:val="32"/>
        </w:rPr>
        <w:t>2023年</w:t>
      </w:r>
      <w:r>
        <w:rPr>
          <w:rFonts w:hint="eastAsia" w:ascii="仿宋_GB2312" w:hAnsi="仿宋" w:eastAsia="仿宋_GB2312"/>
          <w:sz w:val="32"/>
          <w:szCs w:val="32"/>
          <w:lang w:val="en-US" w:eastAsia="zh-CN"/>
        </w:rPr>
        <w:t>部门预算</w:t>
      </w:r>
      <w:r>
        <w:rPr>
          <w:rFonts w:hint="eastAsia" w:ascii="仿宋_GB2312" w:hAnsi="仿宋" w:eastAsia="仿宋_GB2312"/>
          <w:sz w:val="32"/>
          <w:szCs w:val="32"/>
        </w:rPr>
        <w:t>编制范围</w:t>
      </w:r>
      <w:r>
        <w:rPr>
          <w:rFonts w:hint="eastAsia" w:ascii="仿宋_GB2312" w:hAnsi="仿宋" w:eastAsia="仿宋_GB2312"/>
          <w:sz w:val="32"/>
          <w:szCs w:val="32"/>
          <w:lang w:val="en-US" w:eastAsia="zh-CN"/>
        </w:rPr>
        <w:t>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1895.87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1308.11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350.75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170.92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118.75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1897.37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1950.03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52.66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1950.03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1950.03</w:t>
            </w:r>
          </w:p>
        </w:tc>
      </w:tr>
    </w:tbl>
    <w:p>
      <w:pPr>
        <w:rPr>
          <w:rFonts w:ascii="仿宋_GB2312" w:eastAsia="仿宋_GB2312"/>
          <w:sz w:val="32"/>
          <w:szCs w:val="32"/>
        </w:rPr>
      </w:pPr>
    </w:p>
    <w:tbl>
      <w:tblPr>
        <w:tblStyle w:val="5"/>
        <w:tblpPr w:leftFromText="180" w:rightFromText="180" w:vertAnchor="text" w:horzAnchor="page" w:tblpXSpec="center" w:tblpY="614"/>
        <w:tblOverlap w:val="never"/>
        <w:tblW w:w="11550"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802"/>
      </w:tblGrid>
      <w:tr>
        <w:tblPrEx>
          <w:tblCellMar>
            <w:top w:w="0" w:type="dxa"/>
            <w:left w:w="108" w:type="dxa"/>
            <w:bottom w:w="0" w:type="dxa"/>
            <w:right w:w="108" w:type="dxa"/>
          </w:tblCellMar>
        </w:tblPrEx>
        <w:trPr>
          <w:trHeight w:val="392" w:hRule="atLeast"/>
          <w:jc w:val="center"/>
        </w:trPr>
        <w:tc>
          <w:tcPr>
            <w:tcW w:w="11550"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50"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50"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8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1950.03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52.66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1895.87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0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湟源县教育局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1950.03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52.66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1895.87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0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湟源县巴燕乡中心学校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1950.03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52.66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1895.87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0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892"/>
        <w:gridCol w:w="1126"/>
        <w:gridCol w:w="1126"/>
        <w:gridCol w:w="1126"/>
        <w:gridCol w:w="1126"/>
        <w:gridCol w:w="1126"/>
        <w:gridCol w:w="1128"/>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99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1950.03</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1709.03</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240.99</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教育支出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1308.11</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1068.61</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239.49</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普通教育</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1308.11</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1068.61</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239.49</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2050201</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学前教育</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5.29</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5.29</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2050202</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小学教育</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259.16</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259.16</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2050203</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初中教育</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809.87</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809.45</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0.42</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2050299</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其他普通教育支出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233.79</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233.79</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350.75</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350.75</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343.60</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343.60</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166.34</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166.34</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62.92</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62.92</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114.34</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114.34</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7.14</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7.14</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7.14</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7.14</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170.92</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170.92</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170.92</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170.92</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91.84</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91.84</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79.08</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79.08</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118.75</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118.75</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118.75</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118.75</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118.75</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118.75</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229</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22960</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彩票公益金安排的支出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2296004</w:t>
            </w:r>
          </w:p>
        </w:tc>
        <w:tc>
          <w:tcPr>
            <w:tcW w:w="3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用于教育事业的彩票公益金支出</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1.50</w:t>
            </w: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1356" w:tblpY="183"/>
        <w:tblOverlap w:val="never"/>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4"/>
        <w:gridCol w:w="624"/>
        <w:gridCol w:w="634"/>
        <w:gridCol w:w="1626"/>
        <w:gridCol w:w="1136"/>
        <w:gridCol w:w="1136"/>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8" w:type="dxa"/>
            <w:gridSpan w:val="7"/>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58"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58" w:type="dxa"/>
            <w:gridSpan w:val="7"/>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788"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5"/>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58" w:type="dxa"/>
            <w:gridSpan w:val="2"/>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62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3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3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3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258" w:type="dxa"/>
            <w:gridSpan w:val="2"/>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1897.37</w:t>
            </w: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1950.03</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1948.53</w:t>
            </w: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258" w:type="dxa"/>
            <w:gridSpan w:val="2"/>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1895.87</w:t>
            </w: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258" w:type="dxa"/>
            <w:gridSpan w:val="2"/>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w:t>
            </w: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1308.11</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1308.11</w:t>
            </w: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350.75</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350.75</w:t>
            </w: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170.92</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170.92</w:t>
            </w: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118.75</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118.75</w:t>
            </w: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w:t>
            </w: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258" w:type="dxa"/>
            <w:gridSpan w:val="2"/>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52.66</w:t>
            </w: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258" w:type="dxa"/>
            <w:gridSpan w:val="2"/>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52.66</w:t>
            </w:r>
          </w:p>
        </w:tc>
        <w:tc>
          <w:tcPr>
            <w:tcW w:w="1626" w:type="dxa"/>
            <w:shd w:val="clear" w:color="auto" w:fill="FFFFFF"/>
            <w:noWrap/>
            <w:vAlign w:val="center"/>
          </w:tcPr>
          <w:p>
            <w:pPr>
              <w:widowControl/>
              <w:jc w:val="left"/>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258" w:type="dxa"/>
            <w:gridSpan w:val="2"/>
            <w:shd w:val="clear" w:color="auto" w:fill="FFFFFF"/>
            <w:noWrap/>
            <w:vAlign w:val="center"/>
          </w:tcPr>
          <w:p>
            <w:pPr>
              <w:widowControl/>
              <w:jc w:val="center"/>
              <w:rPr>
                <w:rFonts w:ascii="宋体" w:hAnsi="宋体" w:cs="宋体"/>
                <w:kern w:val="0"/>
                <w:sz w:val="20"/>
              </w:rPr>
            </w:pPr>
          </w:p>
        </w:tc>
        <w:tc>
          <w:tcPr>
            <w:tcW w:w="1626" w:type="dxa"/>
            <w:shd w:val="clear" w:color="auto" w:fill="FFFFFF"/>
            <w:noWrap/>
            <w:vAlign w:val="center"/>
          </w:tcPr>
          <w:p>
            <w:pPr>
              <w:widowControl/>
              <w:jc w:val="left"/>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6" w:type="dxa"/>
            <w:shd w:val="clear" w:color="auto" w:fill="FFFFFF"/>
            <w:noWrap/>
            <w:vAlign w:val="center"/>
          </w:tcPr>
          <w:p>
            <w:pPr>
              <w:widowControl/>
              <w:jc w:val="center"/>
              <w:rPr>
                <w:rFonts w:ascii="宋体" w:hAnsi="宋体" w:cs="宋体"/>
                <w:kern w:val="0"/>
                <w:sz w:val="20"/>
              </w:rPr>
            </w:pPr>
          </w:p>
        </w:tc>
        <w:tc>
          <w:tcPr>
            <w:tcW w:w="1138"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6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258" w:type="dxa"/>
            <w:gridSpan w:val="2"/>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1950.03</w:t>
            </w:r>
          </w:p>
        </w:tc>
        <w:tc>
          <w:tcPr>
            <w:tcW w:w="162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1950.03</w:t>
            </w:r>
          </w:p>
        </w:tc>
        <w:tc>
          <w:tcPr>
            <w:tcW w:w="113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1948.53</w:t>
            </w:r>
          </w:p>
        </w:tc>
        <w:tc>
          <w:tcPr>
            <w:tcW w:w="113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1.50</w:t>
            </w: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64"/>
        <w:gridCol w:w="1465"/>
        <w:gridCol w:w="1465"/>
        <w:gridCol w:w="146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1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9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6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6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6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6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1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1895.87</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1709.03</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186.84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教育支出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1255.45</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1068.61</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186.84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普通教育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1255.45</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1068.61</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186.84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学前教育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3.91</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小学教育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259.16</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259.16</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初中教育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809.45</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809.45</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其他普通教育支出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182.93</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182.93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350.75</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350.75</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343.60</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343.60</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166.34</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166.34</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62.92</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62.92</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114.34</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114.34</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7.14</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7.14</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7.14</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7.14</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170.92</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170.92</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170.92</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170.92</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91.84</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91.84</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79.08</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79.08</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118.75</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118.75</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118.75</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118.75</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118.75</w:t>
            </w:r>
          </w:p>
        </w:tc>
        <w:tc>
          <w:tcPr>
            <w:tcW w:w="146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118.75</w:t>
            </w:r>
          </w:p>
        </w:tc>
        <w:tc>
          <w:tcPr>
            <w:tcW w:w="14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tblInd w:w="-1064" w:type="dxa"/>
        <w:tblLayout w:type="fixed"/>
        <w:tblCellMar>
          <w:top w:w="0" w:type="dxa"/>
          <w:left w:w="108" w:type="dxa"/>
          <w:bottom w:w="0" w:type="dxa"/>
          <w:right w:w="108" w:type="dxa"/>
        </w:tblCellMar>
      </w:tblPr>
      <w:tblGrid>
        <w:gridCol w:w="650"/>
        <w:gridCol w:w="650"/>
        <w:gridCol w:w="3202"/>
        <w:gridCol w:w="2247"/>
        <w:gridCol w:w="2247"/>
        <w:gridCol w:w="2249"/>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450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4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2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4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2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4502"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1709.03</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1688.37</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20.66</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1546.51</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1546.51</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342.57</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342.57</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330.69</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330.69</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374.69</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374.69</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166.34</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166.34</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62.92</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62.92</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64.33</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64.33</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79.08</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79.08</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7.14</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7.14</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118.75</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118.75</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20.66</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20.66</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劳务费</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20.66</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20.66</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141.86</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141.86</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110.97</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110.97</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3.37</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3.37</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27.52</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27.52</w:t>
            </w: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助学金</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310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资本性支出</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202"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办公设备购置</w:t>
            </w: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249"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tblInd w:w="-1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p>
        </w:tc>
        <w:tc>
          <w:tcPr>
            <w:tcW w:w="972" w:type="dxa"/>
            <w:vAlign w:val="center"/>
          </w:tcPr>
          <w:p>
            <w:pPr>
              <w:widowControl/>
              <w:jc w:val="left"/>
              <w:rPr>
                <w:rFonts w:ascii="宋体" w:hAnsi="宋体" w:cs="宋体"/>
                <w:b/>
                <w:bCs/>
                <w:color w:val="000000"/>
                <w:kern w:val="0"/>
                <w:sz w:val="22"/>
                <w:szCs w:val="22"/>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tbl>
      <w:tblPr>
        <w:tblStyle w:val="5"/>
        <w:tblW w:w="10279" w:type="dxa"/>
        <w:tblInd w:w="-589" w:type="dxa"/>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一、关于湟源县巴燕乡中心学校2023年部门收支预算情况的总体说明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巴燕乡中心学校所有收入和支出均纳入部门预算管理。收入包括：一般公共预算拨款收入1895.87万元，政府性基金预算拨款收入1.50万元，上年结转52.66万元；支出包括：教育支出1308.11万元，社会保障和就业支出350.75万元，卫生健康支出170.92万元，住房保障支出118.75万元，其他支出1.50万元。湟源县巴燕乡中心学校2023年收支总预算1950.03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二、关于湟源县巴燕乡中心学校2023年部门收入预算情况说明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湟源县巴燕乡中心学校2023年收入预算1950.03万元，其中：上年结转52.66万元，占2.70%；一般公共预算拨款收入1895.87万元，占97.22%；政府性基金预算拨款收入1.50万元，占0.08%。</w:t>
      </w:r>
    </w:p>
    <w:p>
      <w:pPr>
        <w:ind w:firstLine="640" w:firstLineChars="200"/>
        <w:rPr>
          <w:rFonts w:ascii="仿宋_GB2312" w:eastAsia="仿宋_GB2312"/>
          <w:sz w:val="32"/>
          <w:szCs w:val="32"/>
        </w:rPr>
      </w:pPr>
      <w:r>
        <w:rPr>
          <w:rFonts w:ascii="仿宋_GB2312" w:eastAsia="仿宋_GB2312"/>
          <w:sz w:val="32"/>
          <w:szCs w:val="32"/>
        </w:rPr>
        <w:pict>
          <v:shape id="_x0000_i1025" o:spt="75" type="#_x0000_t75" style="height:163.55pt;width:355.1pt;" filled="f" o:preferrelative="t" stroked="f" coordsize="21600,21600">
            <v:path/>
            <v:fill on="f" focussize="0,0"/>
            <v:stroke on="f" joinstyle="miter"/>
            <v:imagedata r:id="rId7"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三、关于湟源县巴燕乡中心学校2023年部门支出预算情况说明</w:t>
      </w:r>
    </w:p>
    <w:p>
      <w:pPr>
        <w:ind w:firstLine="645"/>
        <w:rPr>
          <w:rFonts w:ascii="仿宋_GB2312" w:eastAsia="仿宋_GB2312"/>
          <w:sz w:val="32"/>
          <w:szCs w:val="32"/>
        </w:rPr>
      </w:pPr>
      <w:r>
        <w:rPr>
          <w:rFonts w:hint="eastAsia" w:ascii="仿宋_GB2312" w:eastAsia="仿宋_GB2312"/>
          <w:sz w:val="32"/>
          <w:szCs w:val="32"/>
        </w:rPr>
        <w:t>湟源县巴燕乡中心学校2023年支出预算1950.03万元，其中：基本支出1709.03万元，占87.64%；项目支出240.99万元，占12.36%。</w:t>
      </w:r>
    </w:p>
    <w:p>
      <w:pPr>
        <w:ind w:firstLine="645"/>
        <w:rPr>
          <w:rFonts w:ascii="仿宋_GB2312" w:eastAsia="仿宋_GB2312"/>
          <w:sz w:val="32"/>
          <w:szCs w:val="32"/>
        </w:rPr>
      </w:pPr>
      <w:r>
        <w:rPr>
          <w:rFonts w:ascii="仿宋_GB2312" w:eastAsia="仿宋_GB2312"/>
          <w:sz w:val="32"/>
          <w:szCs w:val="32"/>
        </w:rPr>
        <w:pict>
          <v:shape id="_x0000_i1026" o:spt="75" type="#_x0000_t75" style="height:167.8pt;width:365.5pt;" filled="f" o:preferrelative="t" stroked="f" coordsize="21600,21600">
            <v:path/>
            <v:fill on="f" focussize="0,0"/>
            <v:stroke on="f" joinstyle="miter"/>
            <v:imagedata r:id="rId8" o:title=""/>
            <o:lock v:ext="edit" aspectratio="t"/>
            <w10:wrap type="none"/>
            <w10:anchorlock/>
          </v:shape>
        </w:pic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四、关于湟源县巴燕乡中心学校2023年财政拨款收支预算情况的总体说明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巴燕乡中心学校2023年财政拨款收支总预算1950.03万元，比上年增加78.81万元，主要是教师薪级工资增加和个人社保部分增长。收入包括：一般公共预算拨款收入1895.87万元，上年结转52.66万元；政府性基金预算拨款收入1.50万元，上年结转0.00万元。支出包括： 教育支出1308.11万元， 社会保障和就业支出350.75万元， 卫生健康支出170.92万元， 住房保障支出118.75万元， 其他支出1.50万元。</w:t>
      </w:r>
    </w:p>
    <w:p>
      <w:pPr>
        <w:ind w:firstLine="645"/>
        <w:rPr>
          <w:rFonts w:ascii="仿宋_GB2312" w:eastAsia="仿宋_GB2312"/>
          <w:sz w:val="32"/>
          <w:szCs w:val="32"/>
        </w:rPr>
      </w:pPr>
      <w:r>
        <w:rPr>
          <w:rFonts w:ascii="仿宋_GB2312" w:eastAsia="仿宋_GB2312"/>
          <w:sz w:val="32"/>
          <w:szCs w:val="32"/>
        </w:rPr>
        <w:pict>
          <v:shape id="_x0000_i1027" o:spt="75" type="#_x0000_t75" style="height:167.2pt;width:363.05pt;" filled="f" o:preferrelative="t" stroked="f" coordsize="21600,21600">
            <v:path/>
            <v:fill on="f" focussize="0,0"/>
            <v:stroke on="f" joinstyle="miter"/>
            <v:imagedata r:id="rId9"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五、关于湟源县巴燕乡中心学校2023年一般公共预算当年拨款情况说明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湟源县巴燕乡中心学校2023年一般公共预算当年拨款1895.87万元,比上年增加24.65万元，主要是教师薪级工资增加；社保缴费基数增加调整</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pict>
          <v:shape id="_x0000_i1028" o:spt="75" type="#_x0000_t75" style="height:123.25pt;width:360pt;" filled="f" o:preferrelative="t" stroked="f" coordsize="21600,21600">
            <v:path/>
            <v:fill on="f" focussize="0,0"/>
            <v:stroke on="f" joinstyle="miter"/>
            <v:imagedata r:id="rId10"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教育支出1255.45万元，占66.22%；社会保障和就业支出350.75万元，占18.50%；卫生健康支出170.92万元，占9.02%；住房保障支出118.75万元，占6.26%。</w:t>
      </w:r>
    </w:p>
    <w:p>
      <w:pPr>
        <w:ind w:firstLine="645"/>
        <w:rPr>
          <w:rFonts w:ascii="仿宋_GB2312" w:eastAsia="仿宋_GB2312"/>
          <w:sz w:val="32"/>
          <w:szCs w:val="32"/>
        </w:rPr>
      </w:pPr>
      <w:r>
        <w:rPr>
          <w:rFonts w:ascii="仿宋_GB2312" w:eastAsia="仿宋_GB2312"/>
          <w:sz w:val="32"/>
          <w:szCs w:val="32"/>
        </w:rPr>
        <w:pict>
          <v:shape id="_x0000_i1029" o:spt="75" type="#_x0000_t75" style="height:168.4pt;width:366.1pt;" filled="f" o:preferrelative="t" stroked="f" coordsize="21600,21600">
            <v:path/>
            <v:fill on="f" focussize="0,0"/>
            <v:stroke on="f" joinstyle="miter"/>
            <v:imagedata r:id="rId11"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1、教育支出（类）普通教育（款）学前教育（项）2023年预算数为3.91万元，比上年减少1.29万元，下降24.81%。主要是幼儿学生减少，幼儿园撤并。</w:t>
      </w:r>
    </w:p>
    <w:p>
      <w:pPr>
        <w:ind w:firstLine="645"/>
        <w:rPr>
          <w:rFonts w:ascii="仿宋_GB2312" w:eastAsia="仿宋_GB2312"/>
          <w:sz w:val="32"/>
          <w:szCs w:val="32"/>
        </w:rPr>
      </w:pPr>
      <w:r>
        <w:rPr>
          <w:rFonts w:hint="eastAsia" w:ascii="仿宋_GB2312" w:eastAsia="仿宋_GB2312"/>
          <w:sz w:val="32"/>
          <w:szCs w:val="32"/>
        </w:rPr>
        <w:t>2、教育支出（类）普通教育（款）小学教育（项）2023年预算数为259.16万元，比上年减少28.49万元，下降9.90%。主要是学生人数减少。</w:t>
      </w:r>
    </w:p>
    <w:p>
      <w:pPr>
        <w:ind w:firstLine="645"/>
        <w:rPr>
          <w:rFonts w:hint="eastAsia" w:ascii="仿宋_GB2312" w:eastAsia="仿宋_GB2312"/>
          <w:sz w:val="32"/>
          <w:szCs w:val="32"/>
          <w:highlight w:val="none"/>
        </w:rPr>
      </w:pPr>
      <w:r>
        <w:rPr>
          <w:rFonts w:hint="eastAsia" w:ascii="仿宋_GB2312" w:eastAsia="仿宋_GB2312"/>
          <w:sz w:val="32"/>
          <w:szCs w:val="32"/>
        </w:rPr>
        <w:t>3、教育支出（类）普通教育（款）初中教育（项）2023年预算数为809.45万元，比上年增加36.35万元，增长4.70%。主要是</w:t>
      </w:r>
      <w:r>
        <w:rPr>
          <w:rFonts w:hint="eastAsia" w:ascii="仿宋_GB2312" w:eastAsia="仿宋_GB2312"/>
          <w:sz w:val="32"/>
          <w:szCs w:val="32"/>
          <w:highlight w:val="none"/>
          <w:lang w:val="en-US" w:eastAsia="zh-CN"/>
        </w:rPr>
        <w:t>教师晋级工资增长，预算增加</w:t>
      </w:r>
      <w:r>
        <w:rPr>
          <w:rFonts w:hint="eastAsia" w:ascii="仿宋_GB2312" w:eastAsia="仿宋_GB2312"/>
          <w:sz w:val="32"/>
          <w:szCs w:val="32"/>
          <w:highlight w:val="none"/>
        </w:rPr>
        <w:t>。</w:t>
      </w:r>
    </w:p>
    <w:p>
      <w:pPr>
        <w:ind w:firstLine="645"/>
        <w:rPr>
          <w:rFonts w:ascii="仿宋_GB2312" w:eastAsia="仿宋_GB2312"/>
          <w:sz w:val="32"/>
          <w:szCs w:val="32"/>
        </w:rPr>
      </w:pPr>
      <w:r>
        <w:rPr>
          <w:rFonts w:hint="eastAsia" w:ascii="仿宋_GB2312" w:eastAsia="仿宋_GB2312"/>
          <w:sz w:val="32"/>
          <w:szCs w:val="32"/>
        </w:rPr>
        <w:t>4、教育支出（类）普通教育（款）其他普通教育支出（项）2023年预算数为182.93万元，比上年减少14.13万元，下降7.17%。主要是学生人数减少。</w:t>
      </w:r>
    </w:p>
    <w:p>
      <w:pPr>
        <w:ind w:firstLine="645"/>
        <w:rPr>
          <w:rFonts w:ascii="仿宋_GB2312" w:eastAsia="仿宋_GB2312"/>
          <w:sz w:val="32"/>
          <w:szCs w:val="32"/>
        </w:rPr>
      </w:pPr>
      <w:r>
        <w:rPr>
          <w:rFonts w:hint="eastAsia" w:ascii="仿宋_GB2312" w:eastAsia="仿宋_GB2312"/>
          <w:sz w:val="32"/>
          <w:szCs w:val="32"/>
        </w:rPr>
        <w:t>5、社会保障和就业支出（类）行政事业单位养老支出（款）机关事业单位基本养老保险缴费支出（项）2023年预算数为166.34万元，比上年增加19.28万元，增长13.11%。主要是工资增加，养老保险基数上调。</w:t>
      </w:r>
    </w:p>
    <w:p>
      <w:pPr>
        <w:ind w:firstLine="645"/>
        <w:rPr>
          <w:rFonts w:ascii="仿宋_GB2312" w:eastAsia="仿宋_GB2312"/>
          <w:sz w:val="32"/>
          <w:szCs w:val="32"/>
        </w:rPr>
      </w:pPr>
      <w:r>
        <w:rPr>
          <w:rFonts w:hint="eastAsia" w:ascii="仿宋_GB2312" w:eastAsia="仿宋_GB2312"/>
          <w:sz w:val="32"/>
          <w:szCs w:val="32"/>
        </w:rPr>
        <w:t>6、社会保障和就业支出（类）行政事业单位养老支出（款）机关事业单位职业年金缴费支出（项）2023年预算数为62.92万元，比上年减少10.61万元，下降14.43%。主要是在职教师人数减少。</w:t>
      </w:r>
    </w:p>
    <w:p>
      <w:pPr>
        <w:ind w:firstLine="645"/>
        <w:rPr>
          <w:rFonts w:hint="eastAsia" w:ascii="仿宋_GB2312" w:eastAsia="仿宋_GB2312"/>
          <w:sz w:val="32"/>
          <w:szCs w:val="32"/>
          <w:highlight w:val="none"/>
        </w:rPr>
      </w:pPr>
      <w:r>
        <w:rPr>
          <w:rFonts w:hint="eastAsia" w:ascii="仿宋_GB2312" w:eastAsia="仿宋_GB2312"/>
          <w:sz w:val="32"/>
          <w:szCs w:val="32"/>
        </w:rPr>
        <w:t>7、社会保障和就业支出（类）行政事业单位养老支出（款）其他行政事业单位养老支出（项）2023年预算数为114.34万元，比上年减少4.99万元，下降4.18%。主要是</w:t>
      </w:r>
      <w:r>
        <w:rPr>
          <w:rFonts w:hint="eastAsia" w:ascii="仿宋_GB2312" w:eastAsia="仿宋_GB2312"/>
          <w:sz w:val="32"/>
          <w:szCs w:val="32"/>
          <w:highlight w:val="none"/>
        </w:rPr>
        <w:t>在职教师人数减少。</w:t>
      </w:r>
    </w:p>
    <w:p>
      <w:pPr>
        <w:ind w:firstLine="645"/>
        <w:rPr>
          <w:rFonts w:ascii="仿宋_GB2312" w:eastAsia="仿宋_GB2312"/>
          <w:sz w:val="32"/>
          <w:szCs w:val="32"/>
        </w:rPr>
      </w:pPr>
      <w:r>
        <w:rPr>
          <w:rFonts w:hint="eastAsia" w:ascii="仿宋_GB2312" w:eastAsia="仿宋_GB2312"/>
          <w:sz w:val="32"/>
          <w:szCs w:val="32"/>
          <w:highlight w:val="none"/>
        </w:rPr>
        <w:t>8、社会保障和就业支出（类）其他社会保障和就业支出（款）其他社会保障和就业支出（项）20</w:t>
      </w:r>
      <w:r>
        <w:rPr>
          <w:rFonts w:hint="eastAsia" w:ascii="仿宋_GB2312" w:eastAsia="仿宋_GB2312"/>
          <w:sz w:val="32"/>
          <w:szCs w:val="32"/>
        </w:rPr>
        <w:t>23年预算数为7.14万元，比上年增加1.03万元，增长16.86%。主要是工资增加养老保险基数上调。</w:t>
      </w:r>
    </w:p>
    <w:p>
      <w:pPr>
        <w:ind w:firstLine="645"/>
        <w:rPr>
          <w:rFonts w:ascii="仿宋_GB2312" w:eastAsia="仿宋_GB2312"/>
          <w:sz w:val="32"/>
          <w:szCs w:val="32"/>
        </w:rPr>
      </w:pPr>
      <w:r>
        <w:rPr>
          <w:rFonts w:hint="eastAsia" w:ascii="仿宋_GB2312" w:eastAsia="仿宋_GB2312"/>
          <w:sz w:val="32"/>
          <w:szCs w:val="32"/>
        </w:rPr>
        <w:t>9、卫生健康支出（类）行政事业单位医疗（款）事业单位医疗（项）2023年预算数为91.84万元，比上年减少3.66万元，下降3.83%。主要是编制减少，在职教师人数较少。</w:t>
      </w:r>
    </w:p>
    <w:p>
      <w:pPr>
        <w:ind w:firstLine="645"/>
        <w:rPr>
          <w:rFonts w:ascii="仿宋_GB2312" w:eastAsia="仿宋_GB2312"/>
          <w:sz w:val="32"/>
          <w:szCs w:val="32"/>
        </w:rPr>
      </w:pPr>
      <w:r>
        <w:rPr>
          <w:rFonts w:hint="eastAsia" w:ascii="仿宋_GB2312" w:eastAsia="仿宋_GB2312"/>
          <w:sz w:val="32"/>
          <w:szCs w:val="32"/>
        </w:rPr>
        <w:t>10、卫生健康支出（类）行政事业单位医疗（款）公务员医疗补助（项）2023年预算数为79.08万元，比上年增加12.55万元，增长18.86%。主要是退休教师增加了。</w:t>
      </w:r>
    </w:p>
    <w:p>
      <w:pPr>
        <w:ind w:firstLine="645"/>
        <w:rPr>
          <w:rFonts w:ascii="仿宋_GB2312" w:eastAsia="仿宋_GB2312"/>
          <w:sz w:val="32"/>
          <w:szCs w:val="32"/>
        </w:rPr>
      </w:pPr>
      <w:r>
        <w:rPr>
          <w:rFonts w:hint="eastAsia" w:ascii="仿宋_GB2312" w:eastAsia="仿宋_GB2312"/>
          <w:sz w:val="32"/>
          <w:szCs w:val="32"/>
        </w:rPr>
        <w:t>11、住房保障支出（类）住房改革支出（款）住房公积金（项）2023年预算数为118.75万元，比上年增加18.60万元，增长18.57%。主要是教师工资增加，住房公积金上调。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湟源县巴燕乡中心学校2023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湟源县巴燕乡中心学校2023年一般公共预算基本支出1709.03万元，其中：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1688.37万元，主要包括：基本工资342.57万元、津贴补贴330.69万元、绩效工资374.69万元、机关事业单位基本养老保险缴费166.34万元、职业年金缴费62.92万元、职工基本医疗保险缴费64.33万元、公务员医疗补助缴费79.08万元、其他社会保障缴费7.14万元、住房公积金118.75万元、退休费110.97万元、生活补助3.37万元、医疗费补助27.52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20.66万元，主要包括：工会经费20.66万元。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湟源县巴燕乡中心学校2023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巴燕乡中心学校2023年一般公共预算“三公”经费预算数为0.00万元，比上年增加0.00万元，其中：因公出国（境）费0.00万元，增加0.00万元；公务用车购置及运行费0.00万元，增加0.00万元；公务接待费0.00万元，增加0.00万元。2023年“三公”经费预算比上年无变化。</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湟源县巴燕乡中心学校2023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湟源县巴燕乡中心学校2023年没有使用政府性基金预算拨款安排的支出。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2023年湟源县巴燕乡中心学校机关运行经费财政拨款预算20.66万元，比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年预算增加2.88万元，增长16.20%。主要是办公经费增加。</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2023年湟源县巴燕乡中心学校各单位政府采购预算总额0万元，其中：政府采购货物预算0万元、政府采购工程预算0万元、政府采购服务预算0万元。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巴燕乡中心学校所属各预算单位共有车辆0辆，其中，省级领导干部用车0辆、厅级领导干部用车0辆、一般公务用车0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2023年湟源县巴燕乡中心学校预算均实行绩效目标管理，涉及项目9个，预算金额188.34万元。</w:t>
      </w:r>
    </w:p>
    <w:tbl>
      <w:tblPr>
        <w:tblStyle w:val="5"/>
        <w:tblpPr w:leftFromText="180" w:rightFromText="180" w:vertAnchor="text" w:horzAnchor="page" w:tblpXSpec="center" w:tblpY="618"/>
        <w:tblOverlap w:val="never"/>
        <w:tblW w:w="10731" w:type="dxa"/>
        <w:jc w:val="center"/>
        <w:tblLayout w:type="fixed"/>
        <w:tblCellMar>
          <w:top w:w="0" w:type="dxa"/>
          <w:left w:w="108" w:type="dxa"/>
          <w:bottom w:w="0" w:type="dxa"/>
          <w:right w:w="108" w:type="dxa"/>
        </w:tblCellMar>
      </w:tblPr>
      <w:tblGrid>
        <w:gridCol w:w="1649"/>
        <w:gridCol w:w="1075"/>
        <w:gridCol w:w="2326"/>
        <w:gridCol w:w="708"/>
        <w:gridCol w:w="783"/>
        <w:gridCol w:w="2058"/>
        <w:gridCol w:w="700"/>
        <w:gridCol w:w="734"/>
        <w:gridCol w:w="698"/>
      </w:tblGrid>
      <w:tr>
        <w:tblPrEx>
          <w:tblCellMar>
            <w:top w:w="0" w:type="dxa"/>
            <w:left w:w="108" w:type="dxa"/>
            <w:bottom w:w="0" w:type="dxa"/>
            <w:right w:w="108" w:type="dxa"/>
          </w:tblCellMar>
        </w:tblPrEx>
        <w:trPr>
          <w:trHeight w:val="420" w:hRule="atLeast"/>
          <w:jc w:val="center"/>
        </w:trPr>
        <w:tc>
          <w:tcPr>
            <w:tcW w:w="10731"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5050"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708"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83"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2058"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00"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432"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54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1247"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84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乡村教师生活补助资金</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12.00</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乡村教师生活补助</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时效指标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各项任务完成及时率</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受益学校数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所</w:t>
            </w:r>
          </w:p>
        </w:tc>
      </w:tr>
      <w:tr>
        <w:tblPrEx>
          <w:tblCellMar>
            <w:top w:w="0" w:type="dxa"/>
            <w:left w:w="108" w:type="dxa"/>
            <w:bottom w:w="0" w:type="dxa"/>
            <w:right w:w="108" w:type="dxa"/>
          </w:tblCellMar>
        </w:tblPrEx>
        <w:trPr>
          <w:trHeight w:val="84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学校满意度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乡村学校少年宫项目</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1.50</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农村学校少年宫活动经费</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受益学校数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所</w:t>
            </w:r>
          </w:p>
        </w:tc>
      </w:tr>
      <w:tr>
        <w:tblPrEx>
          <w:tblCellMar>
            <w:top w:w="0" w:type="dxa"/>
            <w:left w:w="108" w:type="dxa"/>
            <w:bottom w:w="0" w:type="dxa"/>
            <w:right w:w="108" w:type="dxa"/>
          </w:tblCellMar>
        </w:tblPrEx>
        <w:trPr>
          <w:trHeight w:val="56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受益学生数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450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家长学生满意度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“三区”人才支持计划教育人员专项计划</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4.00</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“三区”人才支持计划教育人员专项计划</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时效指标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奖助学金到位及时性</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可持续影响指标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资助政策发挥作用时间</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w:t>
            </w:r>
          </w:p>
        </w:tc>
      </w:tr>
      <w:tr>
        <w:tblPrEx>
          <w:tblCellMar>
            <w:top w:w="0" w:type="dxa"/>
            <w:left w:w="108" w:type="dxa"/>
            <w:bottom w:w="0" w:type="dxa"/>
            <w:right w:w="108" w:type="dxa"/>
          </w:tblCellMar>
        </w:tblPrEx>
        <w:trPr>
          <w:trHeight w:val="140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教师、学生和家长对项目的综合满意度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城乡义务教育补助经费—公用经费</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78.00</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城乡义务教育补助经费-公用经费</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九年义务教育在校生</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0.004</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万人</w:t>
            </w:r>
          </w:p>
        </w:tc>
      </w:tr>
      <w:tr>
        <w:tblPrEx>
          <w:tblCellMar>
            <w:top w:w="0" w:type="dxa"/>
            <w:left w:w="108" w:type="dxa"/>
            <w:bottom w:w="0" w:type="dxa"/>
            <w:right w:w="108" w:type="dxa"/>
          </w:tblCellMar>
        </w:tblPrEx>
        <w:trPr>
          <w:trHeight w:val="56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受益学校数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所</w:t>
            </w:r>
          </w:p>
        </w:tc>
      </w:tr>
      <w:tr>
        <w:tblPrEx>
          <w:tblCellMar>
            <w:top w:w="0" w:type="dxa"/>
            <w:left w:w="108" w:type="dxa"/>
            <w:bottom w:w="0" w:type="dxa"/>
            <w:right w:w="108" w:type="dxa"/>
          </w:tblCellMar>
        </w:tblPrEx>
        <w:trPr>
          <w:trHeight w:val="84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学生、家长满意度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98</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城乡义务教育补助经费—营养改善计划</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35.10</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学生营养改善计划</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时效指标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助学金按规定及时发放率</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受益学生数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424</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学校满意度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城乡义务教育补助经费-非寄宿生生活补助</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0.88</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非寄宿生生活补助</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时效指标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奖助学金按规定及时发放率</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受益学校数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所</w:t>
            </w:r>
          </w:p>
        </w:tc>
      </w:tr>
      <w:tr>
        <w:tblPrEx>
          <w:tblCellMar>
            <w:top w:w="0" w:type="dxa"/>
            <w:left w:w="108" w:type="dxa"/>
            <w:bottom w:w="0" w:type="dxa"/>
            <w:right w:w="108" w:type="dxa"/>
          </w:tblCellMar>
        </w:tblPrEx>
        <w:trPr>
          <w:trHeight w:val="84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学生、家长抽样调查满意度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城乡义务教育补助经费-寄宿生生活补助</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26.95</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寄宿生生活补助</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时效指标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助学金按规定及时发放率</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可持续影响指标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资助政策发挥作用时间</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年</w:t>
            </w:r>
          </w:p>
        </w:tc>
      </w:tr>
      <w:tr>
        <w:tblPrEx>
          <w:tblCellMar>
            <w:top w:w="0" w:type="dxa"/>
            <w:left w:w="108" w:type="dxa"/>
            <w:bottom w:w="0" w:type="dxa"/>
            <w:right w:w="108" w:type="dxa"/>
          </w:tblCellMar>
        </w:tblPrEx>
        <w:trPr>
          <w:trHeight w:val="84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学校满意度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学生资助补助经费-学前三年</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3.91</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学前三年补助资金</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时效指标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奖助学金到位及时性</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受益学校数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所</w:t>
            </w:r>
          </w:p>
        </w:tc>
      </w:tr>
      <w:tr>
        <w:tblPrEx>
          <w:tblCellMar>
            <w:top w:w="0" w:type="dxa"/>
            <w:left w:w="108" w:type="dxa"/>
            <w:bottom w:w="0" w:type="dxa"/>
            <w:right w:w="108" w:type="dxa"/>
          </w:tblCellMar>
        </w:tblPrEx>
        <w:trPr>
          <w:trHeight w:val="84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学生、家长抽样调查满意度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6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义务教育薄弱环节改善与能力提升补助资金</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26.00</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义务教育薄弱环节改善与能力提升补助资金</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受益学校数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所</w:t>
            </w:r>
          </w:p>
        </w:tc>
      </w:tr>
      <w:tr>
        <w:tblPrEx>
          <w:tblCellMar>
            <w:top w:w="0" w:type="dxa"/>
            <w:left w:w="108" w:type="dxa"/>
            <w:bottom w:w="0" w:type="dxa"/>
            <w:right w:w="108" w:type="dxa"/>
          </w:tblCellMar>
        </w:tblPrEx>
        <w:trPr>
          <w:trHeight w:val="56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受益学生数</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520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w:t>
            </w:r>
          </w:p>
        </w:tc>
      </w:tr>
      <w:tr>
        <w:tblPrEx>
          <w:tblCellMar>
            <w:top w:w="0" w:type="dxa"/>
            <w:left w:w="108" w:type="dxa"/>
            <w:bottom w:w="0" w:type="dxa"/>
            <w:right w:w="108" w:type="dxa"/>
          </w:tblCellMar>
        </w:tblPrEx>
        <w:trPr>
          <w:trHeight w:val="840" w:hRule="atLeast"/>
          <w:jc w:val="center"/>
        </w:trPr>
        <w:tc>
          <w:tcPr>
            <w:tcW w:w="16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家长学生满意度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jc w:val="center"/>
        <w:rPr>
          <w:rFonts w:ascii="仿宋_GB2312" w:eastAsia="仿宋_GB2312"/>
          <w:b/>
          <w:sz w:val="32"/>
          <w:szCs w:val="32"/>
        </w:rPr>
      </w:pPr>
    </w:p>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eastAsia="仿宋_GB2312"/>
        </w:rPr>
      </w:pPr>
      <w:r>
        <w:rPr>
          <w:rFonts w:hint="eastAsia" w:ascii="仿宋_GB2312" w:eastAsia="仿宋_GB2312"/>
          <w:b/>
          <w:bCs/>
          <w:sz w:val="32"/>
          <w:szCs w:val="32"/>
        </w:rPr>
        <w:t>（一）教育支出（类）普通教育（款）其他普通教育支出（项）：</w:t>
      </w:r>
      <w:r>
        <w:rPr>
          <w:rFonts w:hint="eastAsia" w:ascii="仿宋_GB2312" w:eastAsia="仿宋_GB2312"/>
          <w:sz w:val="32"/>
          <w:szCs w:val="32"/>
        </w:rPr>
        <w:t>反映除上述项目以外其他用于普通教育方面的支出。</w:t>
      </w:r>
    </w:p>
    <w:p>
      <w:pPr>
        <w:ind w:firstLine="643" w:firstLineChars="200"/>
        <w:rPr>
          <w:rFonts w:ascii="仿宋_GB2312" w:eastAsia="仿宋_GB2312"/>
          <w:b/>
          <w:bCs/>
          <w:sz w:val="32"/>
          <w:szCs w:val="32"/>
        </w:rPr>
      </w:pPr>
      <w:r>
        <w:rPr>
          <w:rFonts w:hint="eastAsia" w:ascii="仿宋_GB2312" w:eastAsia="仿宋_GB2312"/>
          <w:b/>
          <w:bCs/>
          <w:sz w:val="32"/>
          <w:szCs w:val="32"/>
        </w:rPr>
        <w:t>（二）社会保障和就业支出（类）行政事业单位养老支出（款）其他行政事业单位养老支出（项）：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rFonts w:eastAsia="仿宋_GB2312"/>
        </w:rPr>
      </w:pPr>
      <w:r>
        <w:rPr>
          <w:rFonts w:hint="eastAsia" w:ascii="仿宋_GB2312" w:eastAsia="仿宋_GB2312"/>
          <w:b/>
          <w:bCs/>
          <w:sz w:val="32"/>
          <w:szCs w:val="32"/>
        </w:rPr>
        <w:t>（三）社会保障和就业支出（类）行政事业单位养老支出（款）机关事业单位基本养老保险缴费支出（项）：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eastAsia="仿宋_GB2312"/>
        </w:rPr>
      </w:pPr>
      <w:r>
        <w:rPr>
          <w:rFonts w:hint="eastAsia" w:ascii="仿宋_GB2312" w:eastAsia="仿宋_GB2312"/>
          <w:b/>
          <w:bCs/>
          <w:sz w:val="32"/>
          <w:szCs w:val="32"/>
        </w:rPr>
        <w:t>（四）社会保障和就业支出（类）行政事业单位养老支出（款）机关事业单位职业年金缴费支出（项）：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eastAsia="仿宋_GB2312"/>
        </w:rPr>
      </w:pPr>
      <w:r>
        <w:rPr>
          <w:rFonts w:hint="eastAsia" w:ascii="仿宋_GB2312" w:eastAsia="仿宋_GB2312"/>
          <w:b/>
          <w:bCs/>
          <w:sz w:val="32"/>
          <w:szCs w:val="32"/>
        </w:rPr>
        <w:t>（五）卫生健康支出（类）行政事业单位医疗（款）事业单位医疗（项）：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eastAsia="仿宋_GB2312"/>
        </w:rPr>
      </w:pPr>
      <w:r>
        <w:rPr>
          <w:rFonts w:hint="eastAsia" w:ascii="仿宋_GB2312" w:eastAsia="仿宋_GB2312"/>
          <w:b/>
          <w:bCs/>
          <w:sz w:val="32"/>
          <w:szCs w:val="32"/>
        </w:rPr>
        <w:t>（六）卫生健康支出（类）行政事业单位医疗（款）公务员医疗补助（项）：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eastAsia="仿宋_GB2312"/>
          <w:b/>
          <w:bCs/>
          <w:sz w:val="32"/>
          <w:szCs w:val="32"/>
        </w:rPr>
      </w:pPr>
      <w:r>
        <w:rPr>
          <w:rFonts w:hint="eastAsia" w:ascii="仿宋_GB2312" w:eastAsia="仿宋_GB2312"/>
          <w:b/>
          <w:bCs/>
          <w:sz w:val="32"/>
          <w:szCs w:val="32"/>
        </w:rPr>
        <w:t>（七）社会保障和就业支出（类）其他社会保障和就业支出（款）其他社会保障和就业支出（项）：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（八）住房保障支出（类）住房改革支出（款）住房公积金（项）：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ascii="仿宋_GB2312" w:eastAsia="仿宋_GB2312"/>
          <w:sz w:val="32"/>
          <w:szCs w:val="32"/>
        </w:rPr>
      </w:pPr>
      <w:r>
        <w:rPr>
          <w:rFonts w:hint="eastAsia" w:ascii="仿宋_GB2312" w:eastAsia="仿宋_GB2312"/>
          <w:b/>
          <w:bCs/>
          <w:sz w:val="32"/>
          <w:szCs w:val="32"/>
        </w:rPr>
        <w:t>（九）教育支出（类）普通教育（款）小学教育（项）：</w:t>
      </w:r>
      <w:r>
        <w:rPr>
          <w:rFonts w:hint="eastAsia" w:ascii="仿宋_GB2312" w:eastAsia="仿宋_GB2312"/>
          <w:sz w:val="32"/>
          <w:szCs w:val="32"/>
        </w:rPr>
        <w:t>反映各部门举办的小学教育支出。政府各部门对社会组织等举办的小学的资助，如捐赠、补贴等，也在本科目中反映。</w:t>
      </w:r>
    </w:p>
    <w:p>
      <w:pPr>
        <w:ind w:firstLine="619" w:firstLineChars="200"/>
        <w:rPr>
          <w:rFonts w:ascii="黑体" w:hAnsi="宋体" w:eastAsia="黑体"/>
          <w:color w:val="000000"/>
          <w:sz w:val="32"/>
          <w:szCs w:val="32"/>
        </w:rPr>
      </w:pPr>
      <w:r>
        <w:rPr>
          <w:rFonts w:hint="eastAsia" w:ascii="仿宋_GB2312" w:hAnsi="仿宋" w:eastAsia="仿宋_GB2312"/>
          <w:b/>
          <w:spacing w:val="-6"/>
          <w:sz w:val="32"/>
          <w:szCs w:val="32"/>
        </w:rPr>
        <w:t>（十）教育支出（类）普通教育（款）初中教育（项）：</w:t>
      </w:r>
      <w:r>
        <w:rPr>
          <w:rFonts w:hint="eastAsia" w:ascii="仿宋_GB2312" w:hAnsi="仿宋" w:eastAsia="仿宋_GB2312"/>
          <w:bCs/>
          <w:spacing w:val="-6"/>
          <w:sz w:val="32"/>
          <w:szCs w:val="32"/>
        </w:rPr>
        <w:t>指各部门举办的初中教育支出。政府各部门对社会组织等举办的初中的资助，如捐赠、补贴等，也在本科目中反映。</w:t>
      </w:r>
    </w:p>
    <w:p>
      <w:pPr>
        <w:ind w:firstLine="619" w:firstLineChars="200"/>
        <w:rPr>
          <w:rFonts w:ascii="黑体" w:hAnsi="宋体" w:eastAsia="黑体"/>
          <w:color w:val="000000"/>
          <w:sz w:val="32"/>
          <w:szCs w:val="32"/>
        </w:rPr>
      </w:pPr>
      <w:r>
        <w:rPr>
          <w:rFonts w:hint="eastAsia" w:ascii="仿宋_GB2312" w:hAnsi="仿宋" w:eastAsia="仿宋_GB2312"/>
          <w:b/>
          <w:spacing w:val="-6"/>
          <w:sz w:val="32"/>
          <w:szCs w:val="32"/>
        </w:rPr>
        <w:t>（十一）教育支出（类）普通教育（款）学前教育（项）：</w:t>
      </w:r>
      <w:r>
        <w:rPr>
          <w:rFonts w:hint="eastAsia" w:ascii="仿宋_GB2312" w:eastAsia="仿宋_GB2312"/>
          <w:sz w:val="32"/>
          <w:szCs w:val="32"/>
        </w:rPr>
        <w:t>反映各部门举办的学前教育支出。政府各部门对社会组织等举办的幼儿园的资助，如捐赠、补贴等，也在本科目中的反映。</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ind w:firstLine="640" w:firstLineChars="200"/>
        <w:rPr>
          <w:rFonts w:ascii="仿宋_GB2312" w:eastAsia="仿宋_GB2312"/>
          <w:sz w:val="32"/>
          <w:szCs w:val="32"/>
        </w:rPr>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96425"/>
    <w:rsid w:val="000A6FB4"/>
    <w:rsid w:val="000B15EB"/>
    <w:rsid w:val="000B287A"/>
    <w:rsid w:val="000B28FC"/>
    <w:rsid w:val="000B3761"/>
    <w:rsid w:val="000B4E89"/>
    <w:rsid w:val="000D4EDA"/>
    <w:rsid w:val="000F5134"/>
    <w:rsid w:val="000F7828"/>
    <w:rsid w:val="001003D0"/>
    <w:rsid w:val="00112781"/>
    <w:rsid w:val="00113D0A"/>
    <w:rsid w:val="00125BF5"/>
    <w:rsid w:val="00132BE0"/>
    <w:rsid w:val="001362D4"/>
    <w:rsid w:val="00144223"/>
    <w:rsid w:val="00144744"/>
    <w:rsid w:val="00146FBE"/>
    <w:rsid w:val="00151EBE"/>
    <w:rsid w:val="0015696C"/>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46A45"/>
    <w:rsid w:val="00653101"/>
    <w:rsid w:val="006556AA"/>
    <w:rsid w:val="00655C5A"/>
    <w:rsid w:val="00656706"/>
    <w:rsid w:val="006622A0"/>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C766C"/>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6A18"/>
    <w:rsid w:val="00EB791F"/>
    <w:rsid w:val="00EB7FA0"/>
    <w:rsid w:val="00ED13B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1E7"/>
    <w:rsid w:val="00F52EE2"/>
    <w:rsid w:val="00F54ADE"/>
    <w:rsid w:val="00F56A95"/>
    <w:rsid w:val="00F56FB8"/>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4F4621D"/>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171D61"/>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18552F"/>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92096C"/>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7D1FD3"/>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312497"/>
    <w:rsid w:val="379F0A81"/>
    <w:rsid w:val="379F6CD3"/>
    <w:rsid w:val="37AF33BA"/>
    <w:rsid w:val="37C93D50"/>
    <w:rsid w:val="37DE05C8"/>
    <w:rsid w:val="37EE4E6A"/>
    <w:rsid w:val="37F75570"/>
    <w:rsid w:val="38185412"/>
    <w:rsid w:val="3832028F"/>
    <w:rsid w:val="384855BD"/>
    <w:rsid w:val="38A8605B"/>
    <w:rsid w:val="38F90665"/>
    <w:rsid w:val="38FF5DE7"/>
    <w:rsid w:val="39255311"/>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6E552A"/>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3225"/>
    <w:rsid w:val="4F716D4F"/>
    <w:rsid w:val="4F9C3DCC"/>
    <w:rsid w:val="4FAD5FDA"/>
    <w:rsid w:val="4FB43616"/>
    <w:rsid w:val="4FB70C06"/>
    <w:rsid w:val="4FCA0330"/>
    <w:rsid w:val="4FFF435B"/>
    <w:rsid w:val="500D0826"/>
    <w:rsid w:val="505428F9"/>
    <w:rsid w:val="50575F45"/>
    <w:rsid w:val="50597F0F"/>
    <w:rsid w:val="506568B4"/>
    <w:rsid w:val="5073127E"/>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011144"/>
    <w:rsid w:val="594D4389"/>
    <w:rsid w:val="595A2228"/>
    <w:rsid w:val="59B461B6"/>
    <w:rsid w:val="59D80245"/>
    <w:rsid w:val="5A032C9A"/>
    <w:rsid w:val="5A2A50AF"/>
    <w:rsid w:val="5A3A10D3"/>
    <w:rsid w:val="5A6373D1"/>
    <w:rsid w:val="5A84657D"/>
    <w:rsid w:val="5AAF7962"/>
    <w:rsid w:val="5AB000F4"/>
    <w:rsid w:val="5ABD033C"/>
    <w:rsid w:val="5B57504B"/>
    <w:rsid w:val="5B6F3AAA"/>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3B62C2"/>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867AEA"/>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3FF7A63"/>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AF17457"/>
    <w:rsid w:val="6B2667E8"/>
    <w:rsid w:val="6B2E7D36"/>
    <w:rsid w:val="6B317667"/>
    <w:rsid w:val="6B39651C"/>
    <w:rsid w:val="6B454EC0"/>
    <w:rsid w:val="6B4A697B"/>
    <w:rsid w:val="6B511AB7"/>
    <w:rsid w:val="6B607F4C"/>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54AD"/>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437415"/>
    <w:rsid w:val="79A608A8"/>
    <w:rsid w:val="79B17BC5"/>
    <w:rsid w:val="79B97512"/>
    <w:rsid w:val="79C36276"/>
    <w:rsid w:val="7A1A1C0E"/>
    <w:rsid w:val="7A481563"/>
    <w:rsid w:val="7A490C32"/>
    <w:rsid w:val="7A4E42C3"/>
    <w:rsid w:val="7A5275FA"/>
    <w:rsid w:val="7A603AC5"/>
    <w:rsid w:val="7A684727"/>
    <w:rsid w:val="7AA5772A"/>
    <w:rsid w:val="7AA716F4"/>
    <w:rsid w:val="7AF87862"/>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D65FF5"/>
    <w:rsid w:val="7CE352DA"/>
    <w:rsid w:val="7D031D4D"/>
    <w:rsid w:val="7D0746CC"/>
    <w:rsid w:val="7D28412D"/>
    <w:rsid w:val="7D474AC8"/>
    <w:rsid w:val="7D4C20DE"/>
    <w:rsid w:val="7D621902"/>
    <w:rsid w:val="7D715FE9"/>
    <w:rsid w:val="7D904BD5"/>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字符"/>
    <w:link w:val="2"/>
    <w:semiHidden/>
    <w:qFormat/>
    <w:uiPriority w:val="99"/>
    <w:rPr>
      <w:rFonts w:ascii="Times New Roman" w:hAnsi="Times New Roman"/>
      <w:kern w:val="2"/>
      <w:sz w:val="18"/>
      <w:szCs w:val="18"/>
    </w:rPr>
  </w:style>
  <w:style w:type="character" w:customStyle="1" w:styleId="9">
    <w:name w:val="页脚 字符"/>
    <w:link w:val="3"/>
    <w:qFormat/>
    <w:uiPriority w:val="99"/>
    <w:rPr>
      <w:rFonts w:ascii="Times New Roman" w:hAnsi="Times New Roman"/>
      <w:kern w:val="2"/>
      <w:sz w:val="18"/>
      <w:szCs w:val="18"/>
    </w:rPr>
  </w:style>
  <w:style w:type="character" w:customStyle="1" w:styleId="10">
    <w:name w:val="页眉 字符"/>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字符"/>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7035</Words>
  <Characters>8667</Characters>
  <Lines>74</Lines>
  <Paragraphs>20</Paragraphs>
  <TotalTime>1</TotalTime>
  <ScaleCrop>false</ScaleCrop>
  <LinksUpToDate>false</LinksUpToDate>
  <CharactersWithSpaces>8768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2023-06-08T02:48:29Z</dcterms:modified>
  <dc:title>×××部门</dc:title>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3C441024AA804741BA4C2F4531E0D5DE_13</vt:lpwstr>
  </property>
</Properties>
</file>