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湟源县城关第三小学</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"http://www.so.com/s?q=%E7%BB%84%E7%BB%87&amp;ie=utf-8&amp;src=internal_wenda_recommend_textn"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组织</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教育教学、科学研究活动，保证教育教学质量。维护</w:t>
      </w: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"http://www.so.com/s?q=%E6%95%99%E8%81%8C%E5%B7%A5&amp;ie=utf-8&amp;src=internal_wenda_recommend_textn"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教职工</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"http://www.so.com/s?q=%E5%88%A9%E7%9B%8A&amp;ie=utf-8&amp;src=internal_wenda_recommend_textn"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利益</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，保障教职工</w:t>
      </w: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"http://www.so.com/s?q=%E5%90%88%E6%B3%95%E6%9D%83%E7%9B%8A&amp;ie=utf-8&amp;src=internal_wenda_recommend_textn"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合法权益</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，以教职工和学生的人生幸福和</w:t>
      </w: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"http://www.so.com/s?q=%E7%94%9F%E5%91%BD%E8%B4%A8%E9%87%8F&amp;ie=utf-8&amp;src=internal_wenda_recommend_textn"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生命质量</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作为</w:t>
      </w:r>
      <w:r>
        <w:rPr>
          <w:rFonts w:hint="eastAsia" w:ascii="仿宋_GB2312" w:hAnsi="仿宋" w:eastAsia="仿宋_GB2312"/>
          <w:color w:val="auto"/>
          <w:sz w:val="32"/>
          <w:szCs w:val="32"/>
        </w:rPr>
        <w:fldChar w:fldCharType="begin"/>
      </w:r>
      <w:r>
        <w:rPr>
          <w:rFonts w:hint="eastAsia" w:ascii="仿宋_GB2312" w:hAnsi="仿宋" w:eastAsia="仿宋_GB2312"/>
          <w:color w:val="auto"/>
          <w:sz w:val="32"/>
          <w:szCs w:val="32"/>
        </w:rPr>
        <w:instrText xml:space="preserve"> HYPERLINK "http://www.so.com/s?q=%E9%87%8D%E7%82%B9&amp;ie=utf-8&amp;src=internal_wenda_recommend_textn" \t "https://wenda.so.com/q/_blank" </w:instrText>
      </w:r>
      <w:r>
        <w:rPr>
          <w:rFonts w:hint="eastAsia" w:ascii="仿宋_GB2312" w:hAnsi="仿宋" w:eastAsia="仿宋_GB2312"/>
          <w:color w:val="auto"/>
          <w:sz w:val="32"/>
          <w:szCs w:val="32"/>
        </w:rPr>
        <w:fldChar w:fldCharType="separate"/>
      </w:r>
      <w:r>
        <w:rPr>
          <w:rFonts w:hint="eastAsia" w:ascii="仿宋_GB2312" w:hAnsi="仿宋" w:eastAsia="仿宋_GB2312"/>
          <w:color w:val="auto"/>
          <w:sz w:val="32"/>
          <w:szCs w:val="32"/>
        </w:rPr>
        <w:t>重点</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。我校以“立德树人、质量强校”为办学总目标引领学校各项事业发展，营造了“幸福教师，快乐学生，和谐校园”的育人氛围，各项工作取得了新突破。</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w:t>
      </w:r>
      <w:r>
        <w:rPr>
          <w:rFonts w:hint="eastAsia" w:ascii="仿宋_GB2312" w:hAnsi="仿宋" w:eastAsia="仿宋_GB2312"/>
          <w:color w:val="auto"/>
          <w:sz w:val="32"/>
          <w:szCs w:val="32"/>
          <w:lang w:val="en-US" w:eastAsia="zh-CN"/>
        </w:rPr>
        <w:t>预算</w:t>
      </w:r>
      <w:r>
        <w:rPr>
          <w:rFonts w:hint="eastAsia" w:ascii="仿宋_GB2312" w:hAnsi="仿宋" w:eastAsia="仿宋_GB2312"/>
          <w:color w:val="auto"/>
          <w:sz w:val="32"/>
          <w:szCs w:val="32"/>
        </w:rPr>
        <w:t>编制范围</w:t>
      </w:r>
      <w:bookmarkStart w:id="6" w:name="_GoBack"/>
      <w:bookmarkEnd w:id="6"/>
      <w:r>
        <w:rPr>
          <w:rFonts w:hint="eastAsia" w:ascii="仿宋_GB2312" w:hAnsi="仿宋" w:eastAsia="仿宋_GB2312"/>
          <w:color w:val="auto"/>
          <w:sz w:val="32"/>
          <w:szCs w:val="32"/>
        </w:rPr>
        <w:t>包括各级预算单位1个，其中二级预算单位1个。内设校长1人，副校长</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人，主任1人；下设学校办公室、教务处、会计室、团队室等。机构当年无变化。</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ascii="仿宋_GB2312" w:eastAsia="仿宋_GB2312"/>
          <w:sz w:val="32"/>
          <w:szCs w:val="32"/>
          <w:u w:val="single"/>
        </w:rPr>
      </w:pPr>
      <w:r>
        <w:rPr>
          <w:rFonts w:hint="eastAsia" w:ascii="仿宋_GB2312" w:eastAsia="仿宋_GB2312"/>
          <w:sz w:val="32"/>
          <w:szCs w:val="32"/>
        </w:rPr>
        <w:t>纳入</w:t>
      </w:r>
      <w:r>
        <w:rPr>
          <w:rFonts w:ascii="仿宋_GB2312" w:eastAsia="仿宋_GB2312"/>
          <w:sz w:val="32"/>
          <w:szCs w:val="32"/>
        </w:rPr>
        <w:t>湟源县城关第</w:t>
      </w:r>
      <w:r>
        <w:rPr>
          <w:rFonts w:hint="eastAsia" w:ascii="仿宋_GB2312" w:eastAsia="仿宋_GB2312"/>
          <w:sz w:val="32"/>
          <w:szCs w:val="32"/>
          <w:lang w:val="en-US" w:eastAsia="zh-CN"/>
        </w:rPr>
        <w:t>三</w:t>
      </w:r>
      <w:r>
        <w:rPr>
          <w:rFonts w:ascii="仿宋_GB2312" w:eastAsia="仿宋_GB2312"/>
          <w:sz w:val="32"/>
          <w:szCs w:val="32"/>
        </w:rPr>
        <w:t>小学</w:t>
      </w:r>
      <w:r>
        <w:rPr>
          <w:rFonts w:hint="eastAsia" w:ascii="仿宋_GB2312" w:eastAsia="仿宋_GB2312"/>
          <w:sz w:val="32"/>
          <w:szCs w:val="32"/>
        </w:rPr>
        <w:t>2023年部门预算编制范围的二级预算</w:t>
      </w:r>
      <w:r>
        <w:rPr>
          <w:rFonts w:hint="eastAsia" w:ascii="仿宋_GB2312" w:eastAsia="仿宋_GB2312"/>
          <w:sz w:val="32"/>
          <w:szCs w:val="32"/>
          <w:lang w:val="en-US" w:eastAsia="zh-CN"/>
        </w:rPr>
        <w:t>单位</w:t>
      </w:r>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2318.90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1580.99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383.61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206.35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149.95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2318.90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2320.91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2320.91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2320.91</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2320.91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2318.90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湟源县教育局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2320.91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2318.90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湟源县城关第三小学</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2320.91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2.01</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2318.90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900"/>
        <w:gridCol w:w="1125"/>
        <w:gridCol w:w="1125"/>
        <w:gridCol w:w="1125"/>
        <w:gridCol w:w="1125"/>
        <w:gridCol w:w="1125"/>
        <w:gridCol w:w="1125"/>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0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2320.91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2051.58</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269.33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教育支出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1580.99</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1311.67</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269.33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普通教育</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1580.99</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1311.67</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269.33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2050201</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学前教育</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2050202</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小学教育</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1311.67</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1311.67</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2050299</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其他普通教育支出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263.81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263.81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383.61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383.61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376.48</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376.48</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161.22</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161.22</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80.61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80.61</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134.65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134.65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7.13</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206.35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206.35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206.35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206.35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130.76</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130.76</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75.59</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75.59</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149.95</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1008"/>
        <w:gridCol w:w="1883"/>
        <w:gridCol w:w="1134"/>
        <w:gridCol w:w="129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2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529"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0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8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3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9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2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0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2318.90</w:t>
            </w: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2320.91</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2320.91</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0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2318.90</w:t>
            </w: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1580.99</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1580.99</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383.61</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383.61</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206.35</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206.35</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149.95</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149.95</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0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0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1883" w:type="dxa"/>
            <w:shd w:val="clear" w:color="auto" w:fill="FFFFFF"/>
            <w:noWrap/>
            <w:vAlign w:val="center"/>
          </w:tcPr>
          <w:p>
            <w:pPr>
              <w:widowControl/>
              <w:jc w:val="left"/>
              <w:rPr>
                <w:rFonts w:ascii="宋体" w:hAnsi="宋体" w:cs="宋体"/>
                <w:kern w:val="0"/>
                <w:sz w:val="20"/>
              </w:rPr>
            </w:pP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08" w:type="dxa"/>
            <w:shd w:val="clear" w:color="auto" w:fill="FFFFFF"/>
            <w:noWrap/>
            <w:vAlign w:val="center"/>
          </w:tcPr>
          <w:p>
            <w:pPr>
              <w:widowControl/>
              <w:jc w:val="center"/>
              <w:rPr>
                <w:rFonts w:ascii="宋体" w:hAnsi="宋体" w:cs="宋体"/>
                <w:kern w:val="0"/>
                <w:sz w:val="20"/>
              </w:rPr>
            </w:pPr>
          </w:p>
        </w:tc>
        <w:tc>
          <w:tcPr>
            <w:tcW w:w="1883" w:type="dxa"/>
            <w:shd w:val="clear" w:color="auto" w:fill="FFFFFF"/>
            <w:noWrap/>
            <w:vAlign w:val="center"/>
          </w:tcPr>
          <w:p>
            <w:pPr>
              <w:widowControl/>
              <w:jc w:val="left"/>
              <w:rPr>
                <w:rFonts w:ascii="宋体" w:hAnsi="宋体" w:cs="宋体"/>
                <w:kern w:val="0"/>
                <w:sz w:val="20"/>
              </w:rPr>
            </w:pP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0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2320.91</w:t>
            </w:r>
          </w:p>
        </w:tc>
        <w:tc>
          <w:tcPr>
            <w:tcW w:w="188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3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2320.91</w:t>
            </w:r>
          </w:p>
        </w:tc>
        <w:tc>
          <w:tcPr>
            <w:tcW w:w="1291"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2320.91</w:t>
            </w:r>
          </w:p>
        </w:tc>
        <w:tc>
          <w:tcPr>
            <w:tcW w:w="1221"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23"/>
        <w:gridCol w:w="1445"/>
        <w:gridCol w:w="1445"/>
        <w:gridCol w:w="1447"/>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7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3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2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4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7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2318.90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2051.58</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267.32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205</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教育支出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1578.99</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1311.67</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267.32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普通教育</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1578.99</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1311.67</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267.32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学前教育</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5.52</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小学教育</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1311.67</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1311.67</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其他普通教育支出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261.80</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261.80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383.61</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383.61</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376.48</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376.48</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161.22</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161.22</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80.61</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80.61</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134.65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134.65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7.13</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7.13</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7.13</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7.13</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206.35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206.35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206.35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206.35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130.76</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130.76</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75.59</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75.59</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149.95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149.95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149.95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149.95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149.95</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149.95</w:t>
            </w:r>
          </w:p>
        </w:tc>
        <w:tc>
          <w:tcPr>
            <w:tcW w:w="14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040"/>
        <w:gridCol w:w="2301"/>
        <w:gridCol w:w="2301"/>
        <w:gridCol w:w="2303"/>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0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0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0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4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2051.58</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2026.50</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1822.62</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1822.62</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399.36</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399.36</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358.19</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358.19</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529.04</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529.04</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161.22</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161.22</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80.61</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80.61</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61.53</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61.53</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75.59</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75.59</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7.13</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7.13</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149.95</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149.95</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25.08</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劳务费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25.08</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203.88</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203.88</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132.96</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132.96</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69.23</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69.23</w:t>
            </w: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助学金</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办公设备购置</w:t>
            </w: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0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72" w:type="dxa"/>
            <w:noWrap w:val="0"/>
            <w:vAlign w:val="center"/>
          </w:tcPr>
          <w:p>
            <w:pPr>
              <w:widowControl/>
              <w:jc w:val="left"/>
              <w:rPr>
                <w:rFonts w:ascii="宋体" w:hAnsi="宋体" w:cs="宋体"/>
                <w:b/>
                <w:bCs/>
                <w:color w:val="000000"/>
                <w:kern w:val="0"/>
                <w:sz w:val="22"/>
                <w:szCs w:val="22"/>
              </w:rPr>
            </w:pPr>
          </w:p>
        </w:tc>
      </w:tr>
    </w:tbl>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（注：此表为空表）</w:t>
      </w:r>
    </w:p>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湟源县城关第三小学2023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湟源县城关第三小学</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一般公共预算拨款收入2318.90万元，上年结转2.01万元</w:t>
      </w:r>
      <w:r>
        <w:rPr>
          <w:rFonts w:hint="eastAsia" w:ascii="仿宋_GB2312" w:eastAsia="仿宋_GB2312"/>
          <w:sz w:val="32"/>
          <w:szCs w:val="32"/>
        </w:rPr>
        <w:t>；支出包括：</w:t>
      </w:r>
      <w:r>
        <w:rPr>
          <w:rFonts w:hint="eastAsia" w:ascii="仿宋_GB2312" w:eastAsia="仿宋_GB2312"/>
          <w:sz w:val="32"/>
          <w:szCs w:val="32"/>
          <w:lang w:val="en-US" w:eastAsia="zh-CN"/>
        </w:rPr>
        <w:t>教育支出1580.99万元，社会保障和就业支出383.61万元，卫生健康支出206.35万元，住房保障支出149.95万元</w:t>
      </w:r>
      <w:r>
        <w:rPr>
          <w:rFonts w:hint="eastAsia" w:ascii="仿宋_GB2312" w:eastAsia="仿宋_GB2312"/>
          <w:sz w:val="32"/>
          <w:szCs w:val="32"/>
        </w:rPr>
        <w:t>。</w:t>
      </w:r>
      <w:r>
        <w:rPr>
          <w:rFonts w:hint="eastAsia" w:ascii="仿宋_GB2312" w:eastAsia="仿宋_GB2312"/>
          <w:sz w:val="32"/>
          <w:szCs w:val="32"/>
          <w:lang w:val="en-US" w:eastAsia="zh-CN"/>
        </w:rPr>
        <w:t>湟源县城关第三小学2023</w:t>
      </w:r>
      <w:r>
        <w:rPr>
          <w:rFonts w:hint="eastAsia" w:ascii="仿宋_GB2312" w:eastAsia="仿宋_GB2312"/>
          <w:sz w:val="32"/>
          <w:szCs w:val="32"/>
        </w:rPr>
        <w:t>年收支总预算</w:t>
      </w:r>
      <w:r>
        <w:rPr>
          <w:rFonts w:hint="eastAsia" w:ascii="仿宋_GB2312" w:eastAsia="仿宋_GB2312"/>
          <w:sz w:val="32"/>
          <w:szCs w:val="32"/>
          <w:lang w:val="en-US" w:eastAsia="zh-CN"/>
        </w:rPr>
        <w:t>2320.91</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湟源县城关第三小学2023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湟源县城关第三小学2023</w:t>
      </w:r>
      <w:r>
        <w:rPr>
          <w:rFonts w:hint="eastAsia" w:ascii="仿宋_GB2312" w:eastAsia="仿宋_GB2312"/>
          <w:sz w:val="32"/>
          <w:szCs w:val="32"/>
        </w:rPr>
        <w:t>年收入预算</w:t>
      </w:r>
      <w:r>
        <w:rPr>
          <w:rFonts w:hint="eastAsia" w:ascii="仿宋_GB2312" w:eastAsia="仿宋_GB2312"/>
          <w:sz w:val="32"/>
          <w:szCs w:val="32"/>
          <w:lang w:val="en-US" w:eastAsia="zh-CN"/>
        </w:rPr>
        <w:t>2320.91</w:t>
      </w:r>
      <w:r>
        <w:rPr>
          <w:rFonts w:hint="eastAsia" w:ascii="仿宋_GB2312" w:eastAsia="仿宋_GB2312"/>
          <w:sz w:val="32"/>
          <w:szCs w:val="32"/>
        </w:rPr>
        <w:t>万元，其中：</w:t>
      </w:r>
      <w:r>
        <w:rPr>
          <w:rFonts w:hint="eastAsia" w:ascii="仿宋_GB2312" w:eastAsia="仿宋_GB2312"/>
          <w:sz w:val="32"/>
          <w:szCs w:val="32"/>
          <w:lang w:val="en-US" w:eastAsia="zh-CN"/>
        </w:rPr>
        <w:t>上年结转2.01万元，占0.09%；一般公共预算拨款收入2318.90万元，占99.91%</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73pt;width:376.2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湟源县城关第三小学2023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湟源县城关第三小学2023</w:t>
      </w:r>
      <w:r>
        <w:rPr>
          <w:rFonts w:hint="eastAsia" w:ascii="仿宋_GB2312" w:eastAsia="仿宋_GB2312"/>
          <w:sz w:val="32"/>
          <w:szCs w:val="32"/>
        </w:rPr>
        <w:t>年支出预算</w:t>
      </w:r>
      <w:r>
        <w:rPr>
          <w:rFonts w:hint="eastAsia" w:ascii="仿宋_GB2312" w:eastAsia="仿宋_GB2312"/>
          <w:sz w:val="32"/>
          <w:szCs w:val="32"/>
          <w:lang w:val="en-US" w:eastAsia="zh-CN"/>
        </w:rPr>
        <w:t>2320.91</w:t>
      </w:r>
      <w:r>
        <w:rPr>
          <w:rFonts w:hint="eastAsia" w:ascii="仿宋_GB2312" w:eastAsia="仿宋_GB2312"/>
          <w:sz w:val="32"/>
          <w:szCs w:val="32"/>
        </w:rPr>
        <w:t>万元，其中：</w:t>
      </w:r>
      <w:r>
        <w:rPr>
          <w:rFonts w:hint="eastAsia" w:ascii="仿宋_GB2312" w:eastAsia="仿宋_GB2312"/>
          <w:sz w:val="32"/>
          <w:szCs w:val="32"/>
          <w:lang w:val="en-US" w:eastAsia="zh-CN"/>
        </w:rPr>
        <w:t>基本支出2051.58万元，占88.40%；项目支出269.33万元，占11.60%</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597400" cy="211518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597400" cy="2115185"/>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湟源县城关第三小学2023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城关第三小学2023年财政拨款收支总预算2320.91万元，比上年增加224.77万元，主要是教师薪级工资增加；社保缴费基数增加调整；增加私人幼儿园一个；上年青南计划资金结余。收入包括：一般公共预算拨款收入2318.90万元，上年结转2.01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教育支出1580.99万元， 社会保障和就业支出383.61万元， 卫生健康支出206.35万元， 住房保障支出149.95万元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6.75pt;width:362.45pt;" filled="f" o:preferrelative="t" stroked="f" coordsize="21600,21600">
            <v:path/>
            <v:fill on="f" focussize="0,0"/>
            <v:stroke on="f"/>
            <v:imagedata r:id="rId9" o:title=""/>
            <o:lock v:ext="edit" aspectratio="t"/>
            <w10:wrap type="none"/>
            <w10:anchorlock/>
          </v:shape>
        </w:pict>
      </w:r>
    </w:p>
    <w:p>
      <w:pPr>
        <w:ind w:firstLine="645"/>
        <w:rPr>
          <w:rFonts w:hint="eastAsia" w:ascii="仿宋_GB2312" w:eastAsia="仿宋_GB2312"/>
          <w:sz w:val="32"/>
          <w:szCs w:val="32"/>
          <w:lang w:val="en-US" w:eastAsia="zh-CN"/>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湟源县城关第三小学2023</w:t>
      </w:r>
      <w:r>
        <w:rPr>
          <w:rFonts w:hint="eastAsia" w:ascii="黑体" w:hAnsi="宋体" w:eastAsia="黑体"/>
          <w:color w:val="000000"/>
          <w:sz w:val="32"/>
          <w:szCs w:val="32"/>
        </w:rPr>
        <w:t>年一般公共预算当年拨</w:t>
      </w:r>
      <w:r>
        <w:rPr>
          <w:rFonts w:hint="eastAsia" w:ascii="仿宋_GB2312" w:eastAsia="仿宋_GB2312"/>
          <w:sz w:val="32"/>
          <w:szCs w:val="32"/>
          <w:lang w:val="en-US" w:eastAsia="zh-CN"/>
        </w:rPr>
        <w:t>款情况说明</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（一）一般公共预算当年拨款规模变化情况。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湟源县城关第三小学2023年一般公共预算当年拨款2318.90万元,比上年增加222.76万元，主要是教师薪级工资增加；社保缴费基数增加调整；下拨学前教育经费；上年青南计划资金结余。</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20.8pt;width:353.2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（二）一般公共预算当年拨款结构情况。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教育支出1578.99万元，占68.09%；社会保障和就业支出383.61万元，占16.54%；卫生健康支出206.35万元，占8.90%；住房保障支出149.95万元，占6.47%。</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8" o:spt="75" type="#_x0000_t75" style="height:165.4pt;width:35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1、教育支出（类）普通教育（款）学前教育（项）2023年预算数为5.52万元，比上年减少7.00万元，下降55.91%。主要是童星幼儿园停办。</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2、教育支出（类）普通教育（款）小学教育（项）2023年预算数为1311.67万元，比上年增加53.91万元，增长4.29%。主要是教师薪级工资增加。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3、教育支出（类）普通教育（款）其他普通教育支出（项）2023年预算数为261.80万元，比上年增加105.44万元，增长67.43%。主要是退休人员增加；代课教师工资增加。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4、社会保障和就业支出（类）行政事业单位养老支出（款）机关事业单位基本养老保险缴费支出（项）2023年预算数为161.22万元，比上年增加30.23万元，增长23.08%。主要是养老基数上调，缴费增加。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5、社会保障和就业支出（类）行政事业单位养老支出（款）机关事业单位职业年金缴费支出（项）2023年预算数为80.61万元，比上年增加15.11万元，增长23.07%。主要是职业年金基数上调，缴费增加。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6、社会保障和就业支出（类）行政事业单位养老支出（款）其他行政事业单位养老支出（项）2023年预算数为134.65万元，比上年减少6.35万元，下降4.50%。主要是退休教师人员增加。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7、社会保障和就业支出（类）其他社会保障和就业支出（款）其他社会保障和就业支出（项）2023年预算数为7.13万元，比上年减少1.46万元，下降17.00%。主要是退休教师人员增加。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8、卫生健康支出（类）行政事业单位医疗（款）事业单位医疗（项）2023年预算数为130.76万元，比上年增加6.95万元，增长5.61%。主要是退休人员增加，一次性医疗补助增加。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9、卫生健康支出（类）行政事业单位医疗（款）公务员医疗补助（项）2023年预算数为75.59万元，比上年减少4.17万元，下降5.23%。主要是退休教师人员增加。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10、住房保障支出（类）住房改革支出（款）住房公积金（项）2023年预算数为149.95万元，比上年增加30.10万元，增长25.11%。主要是住房公积金缴费基数增加。</w:t>
      </w:r>
    </w:p>
    <w:p>
      <w:pPr>
        <w:ind w:firstLine="645"/>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六、关于湟源县城关第三小学2023年一般公共预算基本支出情况说明</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湟源县城关第三小学2023年一般公共预算基本支出2051.58万元，其中：</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人员经费2026.50万元，主要包括：基本工资399.36万元、津贴补贴358.19万元、绩效工资529.04万元、机关事业单位基本养老保险缴费161.22万元、职业年金缴费80.61万元、职工基本医疗保险缴费61.53万元、公务员医疗补助缴费75.59万元、其他社会保障缴费7.13万元、住房公积金149.95万元、退休费132.96万元、生活补助1.69万元、医疗费补助69.23万元；</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公用经费25.08万元，主要包括：工会经费25.08万元。</w:t>
      </w:r>
    </w:p>
    <w:p>
      <w:pPr>
        <w:ind w:firstLine="645"/>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七、关于湟源县城关第三小学2023年一般公共预算“三公”经费预算情况说明</w:t>
      </w:r>
    </w:p>
    <w:p>
      <w:pPr>
        <w:ind w:firstLine="645"/>
        <w:rPr>
          <w:rFonts w:hint="eastAsia" w:ascii="黑体" w:hAnsi="宋体" w:eastAsia="黑体"/>
          <w:color w:val="000000"/>
          <w:sz w:val="32"/>
          <w:szCs w:val="32"/>
        </w:rPr>
      </w:pPr>
      <w:r>
        <w:rPr>
          <w:rFonts w:hint="eastAsia" w:ascii="仿宋_GB2312" w:eastAsia="仿宋_GB2312"/>
          <w:sz w:val="32"/>
          <w:szCs w:val="32"/>
          <w:lang w:val="en-US" w:eastAsia="zh-CN"/>
        </w:rPr>
        <w:t>湟源县城关第三小学2023年一般公共预</w:t>
      </w:r>
      <w:r>
        <w:rPr>
          <w:rFonts w:hint="eastAsia" w:ascii="仿宋_GB2312" w:eastAsia="仿宋_GB2312"/>
          <w:sz w:val="32"/>
          <w:szCs w:val="32"/>
        </w:rPr>
        <w:t>算“三公”经费预算数为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湟源县城关第三小学2023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湟源县城关第三小学2023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湟源县城关第三小学</w:t>
      </w:r>
      <w:r>
        <w:rPr>
          <w:rFonts w:hint="eastAsia" w:ascii="仿宋_GB2312" w:hAnsi="仿宋" w:eastAsia="仿宋_GB2312"/>
          <w:spacing w:val="-6"/>
          <w:kern w:val="2"/>
          <w:sz w:val="32"/>
          <w:szCs w:val="32"/>
          <w:lang w:val="en-US"/>
        </w:rPr>
        <w:t>机关运行经费财政拨款预算25.08万元，比上年预算增加3.29万元，增长15.10%。主要</w:t>
      </w:r>
      <w:r>
        <w:rPr>
          <w:rFonts w:hint="eastAsia" w:ascii="仿宋_GB2312" w:hAnsi="仿宋" w:eastAsia="仿宋_GB2312"/>
          <w:spacing w:val="-6"/>
          <w:kern w:val="2"/>
          <w:sz w:val="32"/>
          <w:szCs w:val="32"/>
          <w:lang w:val="en-US" w:eastAsia="zh-CN"/>
        </w:rPr>
        <w:t>是教师人数增加</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湟源县城关第三小学各单位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湟源县城关第三小学所属各预算单位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湟源县城关第三小学</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267.32</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5"/>
        <w:tblW w:w="10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1159"/>
        <w:gridCol w:w="1900"/>
        <w:gridCol w:w="783"/>
        <w:gridCol w:w="808"/>
        <w:gridCol w:w="2050"/>
        <w:gridCol w:w="867"/>
        <w:gridCol w:w="842"/>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67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5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6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“三区”人才支持计划教育人员专项计划</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三区人才补助</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教师参加培训人次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学位授予单位建立自我评估制度的数量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每年参加培训乡村教师的评估满意度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城乡义务教育补助经费—公用经费</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142.00</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城乡义务教育补助经费-公用经费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九年义务教育在校生</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0.1611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家长和学生满意度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城乡义务教育补助经费-非寄宿生生活补助</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2.60</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非寄宿生生活补助</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义务教育阶段家庭经济困难学生生活补助受益人数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资助政策发挥作用时间</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学生满意度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学生资助补助经费-学前三年</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5.52</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学前三年补助资金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资助家庭经济困难幼儿入园数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每年参加培训乡村教师的评估满意度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义务教育薄弱环节改善与能力提升补助资金</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113.20</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义务教育薄弱环节改善与能力提升补助资金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受益学校数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受益学生数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家长学生满意度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（一）教育支出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其他普通教育支出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（七）社会保障和就业支出（类）其他社会保障和就业支出（款）其他社会保障和就业支出（项）：</w:t>
      </w:r>
      <w:r>
        <w:rPr>
          <w:rFonts w:hint="eastAsia" w:ascii="仿宋_GB2312" w:eastAsia="仿宋_GB2312"/>
          <w:b w:val="0"/>
          <w:bCs w:val="0"/>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（八）住房保障支出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（九）教育支出</w:t>
      </w:r>
      <w:r>
        <w:rPr>
          <w:rFonts w:hint="eastAsia" w:ascii="仿宋_GB2312" w:eastAsia="仿宋_GB2312"/>
          <w:b/>
          <w:bCs/>
          <w:sz w:val="32"/>
          <w:szCs w:val="32"/>
        </w:rPr>
        <w:t>（类）</w:t>
      </w:r>
      <w:r>
        <w:rPr>
          <w:rFonts w:hint="eastAsia" w:ascii="仿宋_GB2312" w:eastAsia="仿宋_GB2312"/>
          <w:b/>
          <w:bCs/>
          <w:sz w:val="32"/>
          <w:szCs w:val="32"/>
          <w:lang w:val="en-US" w:eastAsia="zh-CN"/>
        </w:rPr>
        <w:t>普通教育</w:t>
      </w:r>
      <w:r>
        <w:rPr>
          <w:rFonts w:hint="eastAsia" w:ascii="仿宋_GB2312" w:eastAsia="仿宋_GB2312"/>
          <w:b/>
          <w:bCs/>
          <w:sz w:val="32"/>
          <w:szCs w:val="32"/>
        </w:rPr>
        <w:t>（款）</w:t>
      </w:r>
      <w:r>
        <w:rPr>
          <w:rFonts w:hint="eastAsia" w:ascii="仿宋_GB2312" w:eastAsia="仿宋_GB2312"/>
          <w:b/>
          <w:bCs/>
          <w:sz w:val="32"/>
          <w:szCs w:val="32"/>
          <w:lang w:val="en-US" w:eastAsia="zh-CN"/>
        </w:rPr>
        <w:t>小学教育</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反映各部门举办的小学教育支出。政府各部门对社会组织等举办的小学的资助，如捐赠、补贴等，也在本科目中反映。</w:t>
      </w:r>
    </w:p>
    <w:p>
      <w:pPr>
        <w:ind w:firstLine="619" w:firstLineChars="200"/>
        <w:rPr>
          <w:rFonts w:hint="eastAsia" w:ascii="黑体" w:hAnsi="宋体" w:eastAsia="黑体"/>
          <w:color w:val="000000"/>
          <w:sz w:val="32"/>
          <w:szCs w:val="32"/>
        </w:rPr>
      </w:pPr>
      <w:r>
        <w:rPr>
          <w:rFonts w:hint="eastAsia" w:ascii="仿宋_GB2312" w:hAnsi="仿宋" w:eastAsia="仿宋_GB2312"/>
          <w:b/>
          <w:spacing w:val="-6"/>
          <w:sz w:val="32"/>
          <w:szCs w:val="32"/>
          <w:lang w:val="en-US" w:eastAsia="zh-CN"/>
        </w:rPr>
        <w:t>（十）教育支出（类）普通教育（款）学前教育（项）：</w:t>
      </w:r>
      <w:r>
        <w:rPr>
          <w:rFonts w:hint="eastAsia" w:ascii="仿宋_GB2312" w:eastAsia="仿宋_GB2312"/>
          <w:sz w:val="32"/>
          <w:szCs w:val="32"/>
          <w:lang w:val="en-US" w:eastAsia="zh-CN"/>
        </w:rPr>
        <w:t>反映各部门举办的学前教育支出。政府各部门对社会组织等举办的幼儿园的资助，如捐赠、补贴等，也在本科目中的反映。</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5FDEC"/>
    <w:multiLevelType w:val="singleLevel"/>
    <w:tmpl w:val="8E55FD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2D315E"/>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4906D5"/>
    <w:rsid w:val="1A591713"/>
    <w:rsid w:val="1A740269"/>
    <w:rsid w:val="1A915957"/>
    <w:rsid w:val="1A951111"/>
    <w:rsid w:val="1A9C424D"/>
    <w:rsid w:val="1AA71539"/>
    <w:rsid w:val="1AA8061A"/>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EE4E21"/>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70644C"/>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661EA0"/>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1527F"/>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7857E6"/>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3FE0E29"/>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5F55D5"/>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6450</Words>
  <Characters>7930</Characters>
  <Lines>43</Lines>
  <Paragraphs>12</Paragraphs>
  <TotalTime>10</TotalTime>
  <ScaleCrop>false</ScaleCrop>
  <LinksUpToDate>false</LinksUpToDate>
  <CharactersWithSpaces>8029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2023-06-08T08:36:20Z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22E801E819414EF099F3E769314B66A6_13</vt:lpwstr>
  </property>
</Properties>
</file>