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湟源县城关第二小学</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"http://www.so.com/s?q=%E7%BB%84%E7%BB%87&amp;ie=utf-8&amp;src=internal_wenda_recommend_textn" \t "https://wenda.so.com/q/_blank" </w:instrText>
      </w:r>
      <w:r>
        <w:rPr>
          <w:rFonts w:hint="eastAsia" w:ascii="仿宋_GB2312" w:eastAsia="仿宋_GB2312"/>
          <w:sz w:val="32"/>
          <w:szCs w:val="32"/>
        </w:rPr>
        <w:fldChar w:fldCharType="separate"/>
      </w:r>
      <w:r>
        <w:rPr>
          <w:rFonts w:hint="eastAsia" w:ascii="仿宋_GB2312" w:eastAsia="仿宋_GB2312"/>
          <w:sz w:val="32"/>
          <w:szCs w:val="32"/>
        </w:rPr>
        <w:t>组织</w:t>
      </w:r>
      <w:r>
        <w:rPr>
          <w:rFonts w:hint="eastAsia" w:ascii="仿宋_GB2312" w:eastAsia="仿宋_GB2312"/>
          <w:sz w:val="32"/>
          <w:szCs w:val="32"/>
        </w:rPr>
        <w:fldChar w:fldCharType="end"/>
      </w:r>
      <w:r>
        <w:rPr>
          <w:rFonts w:hint="eastAsia" w:ascii="仿宋_GB2312" w:eastAsia="仿宋_GB2312"/>
          <w:sz w:val="32"/>
          <w:szCs w:val="32"/>
        </w:rPr>
        <w:t>教育教学、科学研究活动，保证教育教学质量。维护</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"http://www.so.com/s?q=%E6%95%99%E8%81%8C%E5%B7%A5&amp;ie=utf-8&amp;src=internal_wenda_recommend_textn" \t "https://wenda.so.com/q/_blank" </w:instrText>
      </w:r>
      <w:r>
        <w:rPr>
          <w:rFonts w:hint="eastAsia" w:ascii="仿宋_GB2312" w:eastAsia="仿宋_GB2312"/>
          <w:sz w:val="32"/>
          <w:szCs w:val="32"/>
        </w:rPr>
        <w:fldChar w:fldCharType="separate"/>
      </w:r>
      <w:r>
        <w:rPr>
          <w:rFonts w:hint="eastAsia" w:ascii="仿宋_GB2312" w:eastAsia="仿宋_GB2312"/>
          <w:sz w:val="32"/>
          <w:szCs w:val="32"/>
        </w:rPr>
        <w:t>教职工</w:t>
      </w:r>
      <w:r>
        <w:rPr>
          <w:rFonts w:hint="eastAsia" w:ascii="仿宋_GB2312" w:eastAsia="仿宋_GB2312"/>
          <w:sz w:val="32"/>
          <w:szCs w:val="32"/>
        </w:rPr>
        <w:fldChar w:fldCharType="end"/>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"http://www.so.com/s?q=%E5%88%A9%E7%9B%8A&amp;ie=utf-8&amp;src=internal_wenda_recommend_textn" \t "https://wenda.so.com/q/_blank" </w:instrText>
      </w:r>
      <w:r>
        <w:rPr>
          <w:rFonts w:hint="eastAsia" w:ascii="仿宋_GB2312" w:eastAsia="仿宋_GB2312"/>
          <w:sz w:val="32"/>
          <w:szCs w:val="32"/>
        </w:rPr>
        <w:fldChar w:fldCharType="separate"/>
      </w:r>
      <w:r>
        <w:rPr>
          <w:rFonts w:hint="eastAsia" w:ascii="仿宋_GB2312" w:eastAsia="仿宋_GB2312"/>
          <w:sz w:val="32"/>
          <w:szCs w:val="32"/>
        </w:rPr>
        <w:t>利益</w:t>
      </w:r>
      <w:r>
        <w:rPr>
          <w:rFonts w:hint="eastAsia" w:ascii="仿宋_GB2312" w:eastAsia="仿宋_GB2312"/>
          <w:sz w:val="32"/>
          <w:szCs w:val="32"/>
        </w:rPr>
        <w:fldChar w:fldCharType="end"/>
      </w:r>
      <w:r>
        <w:rPr>
          <w:rFonts w:hint="eastAsia" w:ascii="仿宋_GB2312" w:eastAsia="仿宋_GB2312"/>
          <w:sz w:val="32"/>
          <w:szCs w:val="32"/>
        </w:rPr>
        <w:t>，保障教职工</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"http://www.so.com/s?q=%E5%90%88%E6%B3%95%E6%9D%83%E7%9B%8A&amp;ie=utf-8&amp;src=internal_wenda_recommend_textn" \t "https://wenda.so.com/q/_blank" </w:instrText>
      </w:r>
      <w:r>
        <w:rPr>
          <w:rFonts w:hint="eastAsia" w:ascii="仿宋_GB2312" w:eastAsia="仿宋_GB2312"/>
          <w:sz w:val="32"/>
          <w:szCs w:val="32"/>
        </w:rPr>
        <w:fldChar w:fldCharType="separate"/>
      </w:r>
      <w:r>
        <w:rPr>
          <w:rFonts w:hint="eastAsia" w:ascii="仿宋_GB2312" w:eastAsia="仿宋_GB2312"/>
          <w:sz w:val="32"/>
          <w:szCs w:val="32"/>
        </w:rPr>
        <w:t>合法权益</w:t>
      </w:r>
      <w:r>
        <w:rPr>
          <w:rFonts w:hint="eastAsia" w:ascii="仿宋_GB2312" w:eastAsia="仿宋_GB2312"/>
          <w:sz w:val="32"/>
          <w:szCs w:val="32"/>
        </w:rPr>
        <w:fldChar w:fldCharType="end"/>
      </w:r>
      <w:r>
        <w:rPr>
          <w:rFonts w:hint="eastAsia" w:ascii="仿宋_GB2312" w:eastAsia="仿宋_GB2312"/>
          <w:sz w:val="32"/>
          <w:szCs w:val="32"/>
        </w:rPr>
        <w:t>，以教职工和学生的人生幸福和</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"http://www.so.com/s?q=%E7%94%9F%E5%91%BD%E8%B4%A8%E9%87%8F&amp;ie=utf-8&amp;src=internal_wenda_recommend_textn" \t "https://wenda.so.com/q/_blank" </w:instrText>
      </w:r>
      <w:r>
        <w:rPr>
          <w:rFonts w:hint="eastAsia" w:ascii="仿宋_GB2312" w:eastAsia="仿宋_GB2312"/>
          <w:sz w:val="32"/>
          <w:szCs w:val="32"/>
        </w:rPr>
        <w:fldChar w:fldCharType="separate"/>
      </w:r>
      <w:r>
        <w:rPr>
          <w:rFonts w:hint="eastAsia" w:ascii="仿宋_GB2312" w:eastAsia="仿宋_GB2312"/>
          <w:sz w:val="32"/>
          <w:szCs w:val="32"/>
        </w:rPr>
        <w:t>生命质量</w:t>
      </w:r>
      <w:r>
        <w:rPr>
          <w:rFonts w:hint="eastAsia" w:ascii="仿宋_GB2312" w:eastAsia="仿宋_GB2312"/>
          <w:sz w:val="32"/>
          <w:szCs w:val="32"/>
        </w:rPr>
        <w:fldChar w:fldCharType="end"/>
      </w:r>
      <w:r>
        <w:rPr>
          <w:rFonts w:hint="eastAsia" w:ascii="仿宋_GB2312" w:eastAsia="仿宋_GB2312"/>
          <w:sz w:val="32"/>
          <w:szCs w:val="32"/>
        </w:rPr>
        <w:t>作为</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"http://www.so.com/s?q=%E9%87%8D%E7%82%B9&amp;ie=utf-8&amp;src=internal_wenda_recommend_textn" \t "https://wenda.so.com/q/_blank" </w:instrText>
      </w:r>
      <w:r>
        <w:rPr>
          <w:rFonts w:hint="eastAsia" w:ascii="仿宋_GB2312" w:eastAsia="仿宋_GB2312"/>
          <w:sz w:val="32"/>
          <w:szCs w:val="32"/>
        </w:rPr>
        <w:fldChar w:fldCharType="separate"/>
      </w:r>
      <w:r>
        <w:rPr>
          <w:rFonts w:hint="eastAsia" w:ascii="仿宋_GB2312" w:eastAsia="仿宋_GB2312"/>
          <w:sz w:val="32"/>
          <w:szCs w:val="32"/>
        </w:rPr>
        <w:t>重点</w:t>
      </w:r>
      <w:r>
        <w:rPr>
          <w:rFonts w:hint="eastAsia" w:ascii="仿宋_GB2312" w:eastAsia="仿宋_GB2312"/>
          <w:sz w:val="32"/>
          <w:szCs w:val="32"/>
        </w:rPr>
        <w:fldChar w:fldCharType="end"/>
      </w:r>
      <w:r>
        <w:rPr>
          <w:rFonts w:hint="eastAsia" w:ascii="仿宋_GB2312" w:eastAsia="仿宋_GB2312"/>
          <w:sz w:val="32"/>
          <w:szCs w:val="32"/>
        </w:rPr>
        <w:t>。我校以“立德树人、质量强校”为办学总目标引领学校各项事业发展，营造了“幸福教师，快乐学生，和谐校园”的育人氛围，各项工作取得了新突破。</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2023年度预算编制范围包括各级预算单位1个，其中二级预算单位1个。内设校长1人，副校长1人，主任3人；下设学校办公室、教务处、会计室等。机构当年无变化。</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u w:val="single"/>
        </w:rPr>
      </w:pPr>
      <w:r>
        <w:rPr>
          <w:rFonts w:hint="eastAsia" w:ascii="仿宋_GB2312" w:eastAsia="仿宋_GB2312"/>
          <w:sz w:val="32"/>
          <w:szCs w:val="32"/>
        </w:rPr>
        <w:t>纳入</w:t>
      </w:r>
      <w:r>
        <w:rPr>
          <w:rFonts w:ascii="仿宋_GB2312" w:eastAsia="仿宋_GB2312"/>
          <w:sz w:val="32"/>
          <w:szCs w:val="32"/>
        </w:rPr>
        <w:t>湟源县城关第二小学</w:t>
      </w:r>
      <w:r>
        <w:rPr>
          <w:rFonts w:hint="eastAsia" w:ascii="仿宋_GB2312" w:eastAsia="仿宋_GB2312"/>
          <w:sz w:val="32"/>
          <w:szCs w:val="32"/>
        </w:rPr>
        <w:t>2023年部门预算编制范围的二级预算部门包括：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1556.26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955.65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357.83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156.23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88.82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1556.26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1558.53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2.28</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1558.53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1558.53</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1558.53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2.28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1556.26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1558.53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2.28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1556.26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湟源县城关第二小学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1558.53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2.28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1556.26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738"/>
        <w:gridCol w:w="1152"/>
        <w:gridCol w:w="1152"/>
        <w:gridCol w:w="1152"/>
        <w:gridCol w:w="1152"/>
        <w:gridCol w:w="1152"/>
        <w:gridCol w:w="115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1558.53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1389.86</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168.68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教育支出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955.65</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786.97</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168.68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普通教育</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955.65</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786.97</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168.68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2050201</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学前教育</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0.28</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2050202</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小学教育</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786.97</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786.97</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2050299</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其他普通教育支出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168.40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168.40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357.83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357.83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352.63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352.63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95.41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95.41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47.71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47.71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209.51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209.51</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5.20</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156.23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156.23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156.23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156.23</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111.49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111.49</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44.74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44.74</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88.82</w:t>
            </w: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1400"/>
        <w:gridCol w:w="1518"/>
        <w:gridCol w:w="1073"/>
        <w:gridCol w:w="119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1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04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4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51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9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5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4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1556.26</w:t>
            </w: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07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1558.53</w:t>
            </w:r>
          </w:p>
        </w:tc>
        <w:tc>
          <w:tcPr>
            <w:tcW w:w="11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1558.53</w:t>
            </w: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4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1556.26</w:t>
            </w: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07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955.65</w:t>
            </w:r>
          </w:p>
        </w:tc>
        <w:tc>
          <w:tcPr>
            <w:tcW w:w="11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955.65</w:t>
            </w: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07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357.83</w:t>
            </w:r>
          </w:p>
        </w:tc>
        <w:tc>
          <w:tcPr>
            <w:tcW w:w="11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357.83</w:t>
            </w: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07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156.23</w:t>
            </w:r>
          </w:p>
        </w:tc>
        <w:tc>
          <w:tcPr>
            <w:tcW w:w="11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156.23</w:t>
            </w: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07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88.82</w:t>
            </w:r>
          </w:p>
        </w:tc>
        <w:tc>
          <w:tcPr>
            <w:tcW w:w="11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88.82</w:t>
            </w: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4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2.28</w:t>
            </w: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4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2.28</w:t>
            </w:r>
          </w:p>
        </w:tc>
        <w:tc>
          <w:tcPr>
            <w:tcW w:w="1518" w:type="dxa"/>
            <w:shd w:val="clear" w:color="auto" w:fill="FFFFFF"/>
            <w:noWrap/>
            <w:vAlign w:val="center"/>
          </w:tcPr>
          <w:p>
            <w:pPr>
              <w:widowControl/>
              <w:jc w:val="left"/>
              <w:rPr>
                <w:rFonts w:ascii="宋体" w:hAnsi="宋体" w:cs="宋体"/>
                <w:kern w:val="0"/>
                <w:sz w:val="20"/>
              </w:rPr>
            </w:pP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400" w:type="dxa"/>
            <w:shd w:val="clear" w:color="auto" w:fill="FFFFFF"/>
            <w:noWrap/>
            <w:vAlign w:val="center"/>
          </w:tcPr>
          <w:p>
            <w:pPr>
              <w:widowControl/>
              <w:jc w:val="center"/>
              <w:rPr>
                <w:rFonts w:ascii="宋体" w:hAnsi="宋体" w:cs="宋体"/>
                <w:kern w:val="0"/>
                <w:sz w:val="20"/>
              </w:rPr>
            </w:pPr>
          </w:p>
        </w:tc>
        <w:tc>
          <w:tcPr>
            <w:tcW w:w="1518" w:type="dxa"/>
            <w:shd w:val="clear" w:color="auto" w:fill="FFFFFF"/>
            <w:noWrap/>
            <w:vAlign w:val="center"/>
          </w:tcPr>
          <w:p>
            <w:pPr>
              <w:widowControl/>
              <w:jc w:val="left"/>
              <w:rPr>
                <w:rFonts w:ascii="宋体" w:hAnsi="宋体" w:cs="宋体"/>
                <w:kern w:val="0"/>
                <w:sz w:val="20"/>
              </w:rPr>
            </w:pPr>
          </w:p>
        </w:tc>
        <w:tc>
          <w:tcPr>
            <w:tcW w:w="1073" w:type="dxa"/>
            <w:shd w:val="clear" w:color="auto" w:fill="FFFFFF"/>
            <w:noWrap/>
            <w:vAlign w:val="center"/>
          </w:tcPr>
          <w:p>
            <w:pPr>
              <w:widowControl/>
              <w:jc w:val="center"/>
              <w:rPr>
                <w:rFonts w:ascii="宋体" w:hAnsi="宋体" w:cs="宋体"/>
                <w:kern w:val="0"/>
                <w:sz w:val="20"/>
              </w:rPr>
            </w:pPr>
          </w:p>
        </w:tc>
        <w:tc>
          <w:tcPr>
            <w:tcW w:w="1199" w:type="dxa"/>
            <w:shd w:val="clear" w:color="auto" w:fill="FFFFFF"/>
            <w:noWrap/>
            <w:vAlign w:val="center"/>
          </w:tcPr>
          <w:p>
            <w:pPr>
              <w:widowControl/>
              <w:jc w:val="center"/>
              <w:rPr>
                <w:rFonts w:ascii="宋体" w:hAnsi="宋体" w:cs="宋体"/>
                <w:kern w:val="0"/>
                <w:sz w:val="20"/>
              </w:rPr>
            </w:pPr>
          </w:p>
        </w:tc>
        <w:tc>
          <w:tcPr>
            <w:tcW w:w="125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4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1558.53</w:t>
            </w:r>
          </w:p>
        </w:tc>
        <w:tc>
          <w:tcPr>
            <w:tcW w:w="151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07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1558.53</w:t>
            </w:r>
          </w:p>
        </w:tc>
        <w:tc>
          <w:tcPr>
            <w:tcW w:w="119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1558.53</w:t>
            </w:r>
          </w:p>
        </w:tc>
        <w:tc>
          <w:tcPr>
            <w:tcW w:w="1257" w:type="dxa"/>
            <w:shd w:val="clear" w:color="auto" w:fill="FFFFFF"/>
            <w:noWrap/>
            <w:vAlign w:val="center"/>
          </w:tcPr>
          <w:p>
            <w:pPr>
              <w:widowControl/>
              <w:jc w:val="center"/>
              <w:rPr>
                <w:rFonts w:ascii="宋体" w:hAnsi="宋体" w:cs="宋体"/>
                <w:kern w:val="0"/>
                <w:sz w:val="20"/>
              </w:rPr>
            </w:pPr>
          </w:p>
        </w:tc>
      </w:tr>
    </w:tbl>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83"/>
        <w:gridCol w:w="1425"/>
        <w:gridCol w:w="1425"/>
        <w:gridCol w:w="142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3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7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3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1556.26</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1389.86</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166.40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953.37</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786.97</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953.37</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786.97</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786.97</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786.97</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166.40</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357.83</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357.83</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352.63</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352.63</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95.41</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95.41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47.71</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47.71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209.51</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209.51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5.20</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5.20</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5.20</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5.20</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156.23</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156.23</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156.23</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156.23</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111.49</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111.49</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44.74</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44.74</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88.82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88.82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88.82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88.82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88.82</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88.82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ascii="仿宋_GB2312" w:eastAsia="仿宋_GB2312"/>
          <w:sz w:val="32"/>
          <w:szCs w:val="32"/>
        </w:rPr>
      </w:pPr>
      <w:r>
        <w:rPr>
          <w:rFonts w:ascii="仿宋_GB2312" w:eastAsia="仿宋_GB2312"/>
          <w:sz w:val="32"/>
          <w:szCs w:val="32"/>
        </w:rPr>
        <w:br w:type="page"/>
      </w:r>
    </w:p>
    <w:p>
      <w:pPr>
        <w:rPr>
          <w:rFonts w:ascii="仿宋_GB2312" w:eastAsia="仿宋_GB2312"/>
          <w:sz w:val="32"/>
          <w:szCs w:val="32"/>
        </w:rPr>
      </w:pPr>
    </w:p>
    <w:tbl>
      <w:tblPr>
        <w:tblStyle w:val="5"/>
        <w:tblW w:w="11245" w:type="dxa"/>
        <w:jc w:val="center"/>
        <w:tblLayout w:type="fixed"/>
        <w:tblCellMar>
          <w:top w:w="0" w:type="dxa"/>
          <w:left w:w="108" w:type="dxa"/>
          <w:bottom w:w="0" w:type="dxa"/>
          <w:right w:w="108" w:type="dxa"/>
        </w:tblCellMar>
      </w:tblPr>
      <w:tblGrid>
        <w:gridCol w:w="650"/>
        <w:gridCol w:w="650"/>
        <w:gridCol w:w="3041"/>
        <w:gridCol w:w="2301"/>
        <w:gridCol w:w="2301"/>
        <w:gridCol w:w="230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4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41"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1389.86</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1375.01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1090.42</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1090.42</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234.93</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234.93</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212.57</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212.57</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314.53</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314.53</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95.41</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95.41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47.71</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47.71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36.41</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36.41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44.74</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44.74</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5.20</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5.20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88.82</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88.82</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10.10</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10.10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14.84</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劳务费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14.84</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284.59</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284.59</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209.51</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209.51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75.08</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75.08</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310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4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办公设备购置</w:t>
            </w: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72" w:type="dxa"/>
            <w:vAlign w:val="center"/>
          </w:tcPr>
          <w:p>
            <w:pPr>
              <w:widowControl/>
              <w:jc w:val="left"/>
              <w:rPr>
                <w:rFonts w:ascii="宋体" w:hAnsi="宋体" w:cs="宋体"/>
                <w:b/>
                <w:bCs/>
                <w:color w:val="000000"/>
                <w:kern w:val="0"/>
                <w:sz w:val="22"/>
                <w:szCs w:val="22"/>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一、关于湟源县城关第二小学2023年部门收支预算情况的总体说明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城关第二小学所有收入和支出均纳入部门预算管理。收入包括：一般公共预算拨款收入1556.26万元，上年结转2.28万元；支出包括：教育支出955.65万元，社会保障和就业支出357.83万元，卫生健康支出156.23万元，住房保障支出88.82万元。湟源县城关第二小学2023年收支总预算1558.53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二、关于湟源县城关第二小学2023年部门收入预算情况说明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湟源县城关第二小学2023年收入预算1558.53万元，其中：上年结转2.28万元，占0.15%；一般公共预算拨款收入1556.26万元，占99.85%。</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67.1pt;width:362.7pt;" filled="f" o:preferrelative="t" stroked="f" coordsize="21600,21600">
            <v:path/>
            <v:fill on="f" focussize="0,0"/>
            <v:stroke on="f" joinstyle="miter"/>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三、关于湟源县城关第二小学2023年部门支出预算情况说明</w:t>
      </w:r>
    </w:p>
    <w:p>
      <w:pPr>
        <w:ind w:firstLine="645"/>
        <w:rPr>
          <w:rFonts w:ascii="仿宋_GB2312" w:eastAsia="仿宋_GB2312"/>
          <w:sz w:val="32"/>
          <w:szCs w:val="32"/>
        </w:rPr>
      </w:pPr>
      <w:r>
        <w:rPr>
          <w:rFonts w:hint="eastAsia" w:ascii="仿宋_GB2312" w:eastAsia="仿宋_GB2312"/>
          <w:sz w:val="32"/>
          <w:szCs w:val="32"/>
        </w:rPr>
        <w:t>湟源县城关第二小学2023年支出预算1558.53万元，其中：基本支出1389.86万元，占89.18%；项目支出168.68万元，占10.82%。</w:t>
      </w:r>
    </w:p>
    <w:p>
      <w:pPr>
        <w:ind w:firstLine="645"/>
        <w:rPr>
          <w:rFonts w:ascii="仿宋_GB2312" w:eastAsia="仿宋_GB2312"/>
          <w:sz w:val="32"/>
          <w:szCs w:val="32"/>
        </w:rPr>
      </w:pPr>
      <w:r>
        <w:rPr>
          <w:rFonts w:ascii="仿宋_GB2312" w:eastAsia="仿宋_GB2312"/>
          <w:sz w:val="32"/>
          <w:szCs w:val="32"/>
        </w:rPr>
        <w:pict>
          <v:shape id="_x0000_i1026" o:spt="75" type="#_x0000_t75" style="height:166.4pt;width:362.05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四、关于湟源县城关第二小学2023年财政拨款收支预算情况的总体说明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城关第二小学2023年财政拨款收支总预算1558.53万元，比上年增加324.35万元，主要是：教师人数增加、退休人数增加、学生人数增加、社保缴费基数调整增加、住房公积金基数调整增加。收入包括：一般公共预算拨款收入1556.26万元，上年结转2.28万元；政府性基金预算拨款收入0.00万元，上年结转0.00万元。支出包括： 教育支出955.65万元， 社会保障和就业支出357.83万元， 卫生健康支出156.23万元， 住房保障支出88.82万元。</w:t>
      </w:r>
    </w:p>
    <w:p>
      <w:pPr>
        <w:ind w:firstLine="645"/>
        <w:rPr>
          <w:rFonts w:ascii="仿宋_GB2312" w:eastAsia="仿宋_GB2312"/>
          <w:sz w:val="32"/>
          <w:szCs w:val="32"/>
        </w:rPr>
      </w:pPr>
      <w:r>
        <w:rPr>
          <w:rFonts w:ascii="仿宋_GB2312" w:eastAsia="仿宋_GB2312"/>
          <w:sz w:val="32"/>
          <w:szCs w:val="32"/>
        </w:rPr>
        <w:pict>
          <v:shape id="_x0000_i1027" o:spt="75" type="#_x0000_t75" style="height:167.1pt;width:364.1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五、关于湟源县城关第二小学2023年一般公共预算当年拨款情况说明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湟源县城关第二小学2023年一般公共预算当年拨款1556.26万元,比上年增加322.08万元，主要是：教师人数增加、退休人数增加、学生人数增加、社保缴费基数调整增加、住房公积金基数调整增加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pict>
          <v:shape id="_x0000_i1028" o:spt="75" type="#_x0000_t75" style="height:116.85pt;width:341.65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教育支出953.37万元，占61.26%；社会保障和就业支出357.83万元，占22.99%；卫生健康支出156.23万元，占10.04%；住房保障支出88.82万元，占5.71%。</w:t>
      </w:r>
    </w:p>
    <w:p>
      <w:pPr>
        <w:ind w:firstLine="645"/>
        <w:rPr>
          <w:rFonts w:ascii="仿宋_GB2312" w:eastAsia="仿宋_GB2312"/>
          <w:sz w:val="32"/>
          <w:szCs w:val="32"/>
        </w:rPr>
      </w:pPr>
      <w:r>
        <w:rPr>
          <w:rFonts w:ascii="仿宋_GB2312" w:eastAsia="仿宋_GB2312"/>
          <w:sz w:val="32"/>
          <w:szCs w:val="32"/>
        </w:rPr>
        <w:pict>
          <v:shape id="_x0000_i1029" o:spt="75" type="#_x0000_t75" style="height:167.1pt;width:362.7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1、教育支出（类）普通教育（款）学前教育（项）2023年预算数为0.00万元，比上年减少6.88万元，下降100.00%。主要是：2022年有湟源县童星幼儿园，2023年湟源县童星幼儿园撤并到城关回小附属幼儿园。</w:t>
      </w:r>
    </w:p>
    <w:p>
      <w:pPr>
        <w:ind w:firstLine="645"/>
        <w:rPr>
          <w:rFonts w:ascii="仿宋_GB2312" w:eastAsia="仿宋_GB2312"/>
          <w:sz w:val="32"/>
          <w:szCs w:val="32"/>
        </w:rPr>
      </w:pPr>
      <w:r>
        <w:rPr>
          <w:rFonts w:hint="eastAsia" w:ascii="仿宋_GB2312" w:eastAsia="仿宋_GB2312"/>
          <w:sz w:val="32"/>
          <w:szCs w:val="32"/>
        </w:rPr>
        <w:t>2、教育支出（类）普通教育（款）小学教育（项）2023年预算数为786.97万元，比上年增加121.91万元，增长18.33%。主要是：学生人数增加。</w:t>
      </w:r>
    </w:p>
    <w:p>
      <w:pPr>
        <w:ind w:firstLine="645"/>
        <w:rPr>
          <w:rFonts w:ascii="仿宋_GB2312" w:eastAsia="仿宋_GB2312"/>
          <w:sz w:val="32"/>
          <w:szCs w:val="32"/>
        </w:rPr>
      </w:pPr>
      <w:r>
        <w:rPr>
          <w:rFonts w:hint="eastAsia" w:ascii="仿宋_GB2312" w:eastAsia="仿宋_GB2312"/>
          <w:sz w:val="32"/>
          <w:szCs w:val="32"/>
        </w:rPr>
        <w:t>3、教育支出（类）普通教育（款）其他普通教育支出（项）2023年预算数为166.40万元，比上年增加55.87万元，增长50.55%。主要是：学生人数增加。</w:t>
      </w:r>
    </w:p>
    <w:p>
      <w:pPr>
        <w:ind w:firstLine="645"/>
        <w:rPr>
          <w:rFonts w:hint="eastAsia" w:ascii="仿宋_GB2312" w:eastAsia="仿宋_GB2312"/>
          <w:sz w:val="32"/>
          <w:szCs w:val="32"/>
        </w:rPr>
      </w:pPr>
      <w:r>
        <w:rPr>
          <w:rFonts w:hint="eastAsia" w:ascii="仿宋_GB2312" w:eastAsia="仿宋_GB2312"/>
          <w:sz w:val="32"/>
          <w:szCs w:val="32"/>
        </w:rPr>
        <w:t>4、社会保障和就业支出（类）行政事业单位养老支出（款）机关事业单位基本养老保险缴费支出（项）2023年预算数为95.41万元，比上年增加27.08万元，增长39.63%。主要是：教师人数增加，基本养老保险缴费基数调整增加。</w:t>
      </w:r>
    </w:p>
    <w:p>
      <w:pPr>
        <w:ind w:firstLine="645"/>
        <w:rPr>
          <w:rFonts w:hint="eastAsia" w:ascii="仿宋_GB2312" w:eastAsia="仿宋_GB2312"/>
          <w:sz w:val="32"/>
          <w:szCs w:val="32"/>
        </w:rPr>
      </w:pPr>
      <w:r>
        <w:rPr>
          <w:rFonts w:hint="eastAsia" w:ascii="仿宋_GB2312" w:eastAsia="仿宋_GB2312"/>
          <w:sz w:val="32"/>
          <w:szCs w:val="32"/>
        </w:rPr>
        <w:t>5、社会保障和就业支出（类）行政事业单位养老支出（款）机关事业单位职业年金缴费支出（项）2023年预算数为47.71万元，比上年增加13.55万元，增长39.67%。主要是：教师人数增加，职业年金缴费基数调整增加。</w:t>
      </w:r>
    </w:p>
    <w:p>
      <w:pPr>
        <w:ind w:firstLine="645"/>
        <w:rPr>
          <w:rFonts w:ascii="仿宋_GB2312" w:eastAsia="仿宋_GB2312"/>
          <w:sz w:val="32"/>
          <w:szCs w:val="32"/>
        </w:rPr>
      </w:pPr>
      <w:r>
        <w:rPr>
          <w:rFonts w:hint="eastAsia" w:ascii="仿宋_GB2312" w:eastAsia="仿宋_GB2312"/>
          <w:sz w:val="32"/>
          <w:szCs w:val="32"/>
        </w:rPr>
        <w:t>6、社会保障和就业支出（类）行政事业单位养老支出（款）其他行政事业单位养老支出（项）2023年预算数为209.51万元，比上年增加67.63万元，增长47.67%。主要是：退休人数增加、退休费增加。</w:t>
      </w:r>
    </w:p>
    <w:p>
      <w:pPr>
        <w:ind w:firstLine="645"/>
        <w:rPr>
          <w:rFonts w:ascii="仿宋_GB2312" w:eastAsia="仿宋_GB2312"/>
          <w:sz w:val="32"/>
          <w:szCs w:val="32"/>
        </w:rPr>
      </w:pPr>
      <w:r>
        <w:rPr>
          <w:rFonts w:hint="eastAsia" w:ascii="仿宋_GB2312" w:eastAsia="仿宋_GB2312"/>
          <w:sz w:val="32"/>
          <w:szCs w:val="32"/>
        </w:rPr>
        <w:t>7、社会保障和就业支出（类）其他社会保障和就业支出（款）其他社会保障和就业支出（项）2023年预算数为5.20万元，比上年减少1.90万元，下降26.76%。主要是：在职2人退休。</w:t>
      </w:r>
    </w:p>
    <w:p>
      <w:pPr>
        <w:ind w:firstLine="645"/>
        <w:rPr>
          <w:rFonts w:ascii="仿宋_GB2312" w:eastAsia="仿宋_GB2312"/>
          <w:sz w:val="32"/>
          <w:szCs w:val="32"/>
        </w:rPr>
      </w:pPr>
      <w:r>
        <w:rPr>
          <w:rFonts w:hint="eastAsia" w:ascii="仿宋_GB2312" w:eastAsia="仿宋_GB2312"/>
          <w:sz w:val="32"/>
          <w:szCs w:val="32"/>
        </w:rPr>
        <w:t>8、卫生健康支出（类）行政事业单位医疗（款）事业单位医疗（项）2023年预算数为111.49万元，比上年增加15.10万元，增长15.67%。主要是：教师人数增加，医疗缴费基数调整增加。</w:t>
      </w:r>
    </w:p>
    <w:p>
      <w:pPr>
        <w:ind w:firstLine="645"/>
        <w:rPr>
          <w:rFonts w:ascii="仿宋_GB2312" w:eastAsia="仿宋_GB2312"/>
          <w:sz w:val="32"/>
          <w:szCs w:val="32"/>
        </w:rPr>
      </w:pPr>
      <w:r>
        <w:rPr>
          <w:rFonts w:hint="eastAsia" w:ascii="仿宋_GB2312" w:eastAsia="仿宋_GB2312"/>
          <w:sz w:val="32"/>
          <w:szCs w:val="32"/>
        </w:rPr>
        <w:t>9、卫生健康支出（类）行政事业单位医疗（款）公务员医疗补助（项）2023年预算数为44.74万元，比上年增加3.25万元，增长7.83%。主要是教师人数增加，公务员医疗补助缴费基数调整增加。</w:t>
      </w:r>
    </w:p>
    <w:p>
      <w:pPr>
        <w:ind w:firstLine="645"/>
        <w:rPr>
          <w:rFonts w:ascii="仿宋_GB2312" w:eastAsia="仿宋_GB2312"/>
          <w:sz w:val="32"/>
          <w:szCs w:val="32"/>
        </w:rPr>
      </w:pPr>
      <w:r>
        <w:rPr>
          <w:rFonts w:hint="eastAsia" w:ascii="仿宋_GB2312" w:eastAsia="仿宋_GB2312"/>
          <w:sz w:val="32"/>
          <w:szCs w:val="32"/>
        </w:rPr>
        <w:t>10、住房保障支出（类）住房改革支出（款）住房公积金（项）2023年预算数为88.82万元，比上年增加26.47万元，增长42.45%。主要是教师人数增加，住房公积金缴费基数调整增加。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湟源县城关第二小学2023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湟源县城关第二小学2023年一般公共预算基本支出1389.86万元，其中：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1375.01万元，主要包括：基本工资234.93万元、津贴补贴212.57万元、绩效工资314.53万元、机关事业单位基本养老保险缴费95.41万元、职业年金缴费47.71万元、职工基本医疗保险缴费36.41万元、公务员医疗补助缴费44.74万元、其他社会保障缴费5.20万元、住房公积金88.82万元、其他工资福利支出10.10万元、退休费209.51万元、医疗费补助75.08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14.84万元，主要包括：工会经费14.84万元。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湟源县城关第二小学2023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城关第二小学2023年一般公共预算“三公”经费预算数为0.00万元，比上年增加0.00万元，其中：因公出国（境）费0.00万元，增加0.00万元；公务用车购置及运行费0.00万元，增加0.00万元；公务接待费0.00万元，增加0.00万元。无增减变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湟源县城关第二小学2023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湟源县城关第二小学2023年没有使用政府性基金预算拨款安排的支出。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2023年湟源县城关第二小学机关运行经费财政拨款预算14.84万元，比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年预算增加3.45万元，增长30.29%。主要是：教师人数增加。</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2023年湟源县城关第二小学各单位政府采购预算总额0万元，其中：政府采购货物预算0万元、政府采购工程预算0万元、政府采购服务预算0万元。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城关第二小学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2023年湟源县城关第二小学预算均实行绩效目标管理，涉及项目4个，预算金</w:t>
      </w:r>
      <w:bookmarkStart w:id="6" w:name="_GoBack"/>
      <w:r>
        <w:rPr>
          <w:rFonts w:hint="eastAsia" w:ascii="仿宋_GB2312" w:hAnsi="仿宋" w:eastAsia="仿宋_GB2312"/>
          <w:spacing w:val="-6"/>
          <w:kern w:val="2"/>
          <w:sz w:val="32"/>
          <w:szCs w:val="32"/>
          <w:lang w:val="en-US"/>
        </w:rPr>
        <w:t>额166.40万元。</w:t>
      </w:r>
      <w:bookmarkEnd w:id="6"/>
    </w:p>
    <w:p>
      <w:pPr>
        <w:jc w:val="center"/>
        <w:rPr>
          <w:rFonts w:ascii="仿宋_GB2312" w:eastAsia="仿宋_GB2312"/>
          <w:b/>
          <w:sz w:val="32"/>
          <w:szCs w:val="32"/>
        </w:rPr>
      </w:pPr>
    </w:p>
    <w:tbl>
      <w:tblPr>
        <w:tblStyle w:val="5"/>
        <w:tblW w:w="10823" w:type="dxa"/>
        <w:jc w:val="center"/>
        <w:tblLayout w:type="fixed"/>
        <w:tblCellMar>
          <w:top w:w="0" w:type="dxa"/>
          <w:left w:w="108" w:type="dxa"/>
          <w:bottom w:w="0" w:type="dxa"/>
          <w:right w:w="108" w:type="dxa"/>
        </w:tblCellMar>
      </w:tblPr>
      <w:tblGrid>
        <w:gridCol w:w="1775"/>
        <w:gridCol w:w="1455"/>
        <w:gridCol w:w="1509"/>
        <w:gridCol w:w="773"/>
        <w:gridCol w:w="873"/>
        <w:gridCol w:w="1872"/>
        <w:gridCol w:w="855"/>
        <w:gridCol w:w="918"/>
        <w:gridCol w:w="793"/>
      </w:tblGrid>
      <w:tr>
        <w:tblPrEx>
          <w:tblCellMar>
            <w:top w:w="0" w:type="dxa"/>
            <w:left w:w="108" w:type="dxa"/>
            <w:bottom w:w="0" w:type="dxa"/>
            <w:right w:w="108" w:type="dxa"/>
          </w:tblCellMar>
        </w:tblPrEx>
        <w:trPr>
          <w:trHeight w:val="420" w:hRule="atLeast"/>
          <w:jc w:val="center"/>
        </w:trPr>
        <w:tc>
          <w:tcPr>
            <w:tcW w:w="10823"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739"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7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7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872"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55"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711"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“三区”人才支持计划教育人员专项计划</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4.00</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三区人才</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九年义务教育在校生</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0.1096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万人</w:t>
            </w:r>
          </w:p>
        </w:tc>
      </w:tr>
      <w:tr>
        <w:tblPrEx>
          <w:tblCellMar>
            <w:top w:w="0" w:type="dxa"/>
            <w:left w:w="108" w:type="dxa"/>
            <w:bottom w:w="0" w:type="dxa"/>
            <w:right w:w="108" w:type="dxa"/>
          </w:tblCellMar>
        </w:tblPrEx>
        <w:trPr>
          <w:trHeight w:val="56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受益学生数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1096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家长和学生满意度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城乡义务教育补助经费—公用经费</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108.00</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城乡义务教育补助经费-公用经费</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九年义务教育在校生</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0.1096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万人</w:t>
            </w:r>
          </w:p>
        </w:tc>
      </w:tr>
      <w:tr>
        <w:tblPrEx>
          <w:tblCellMar>
            <w:top w:w="0" w:type="dxa"/>
            <w:left w:w="108" w:type="dxa"/>
            <w:bottom w:w="0" w:type="dxa"/>
            <w:right w:w="108" w:type="dxa"/>
          </w:tblCellMar>
        </w:tblPrEx>
        <w:trPr>
          <w:trHeight w:val="56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受益学生数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1096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家长和学生满意度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城乡义务教育补助经费-非寄宿生生活补助</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2.40</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学前教育资助补助</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九年义务教育在校生</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0.1096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万人</w:t>
            </w:r>
          </w:p>
        </w:tc>
      </w:tr>
      <w:tr>
        <w:tblPrEx>
          <w:tblCellMar>
            <w:top w:w="0" w:type="dxa"/>
            <w:left w:w="108" w:type="dxa"/>
            <w:bottom w:w="0" w:type="dxa"/>
            <w:right w:w="108" w:type="dxa"/>
          </w:tblCellMar>
        </w:tblPrEx>
        <w:trPr>
          <w:trHeight w:val="56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84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学校和老师满意度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义务教育薄弱环节改善与能力提升补助资金</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52.00</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义务教育薄弱环节改善与能力提升补助资金</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56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受益学生数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960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家长学生满意度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eastAsia="仿宋_GB2312"/>
        </w:rPr>
      </w:pPr>
      <w:r>
        <w:rPr>
          <w:rFonts w:hint="eastAsia" w:ascii="仿宋_GB2312" w:eastAsia="仿宋_GB2312"/>
          <w:b/>
          <w:bCs/>
          <w:sz w:val="32"/>
          <w:szCs w:val="32"/>
        </w:rPr>
        <w:t>（一）教育支出（类）普通教育（款）其他普通教育支出（项）：</w:t>
      </w:r>
      <w:r>
        <w:rPr>
          <w:rFonts w:hint="eastAsia" w:ascii="仿宋_GB2312" w:eastAsia="仿宋_GB2312"/>
          <w:sz w:val="32"/>
          <w:szCs w:val="32"/>
        </w:rPr>
        <w:t>反映除上述项目以外其他用于普通教育方面的支出。</w:t>
      </w:r>
    </w:p>
    <w:p>
      <w:pPr>
        <w:ind w:firstLine="643" w:firstLineChars="200"/>
        <w:rPr>
          <w:rFonts w:ascii="仿宋_GB2312" w:eastAsia="仿宋_GB2312"/>
          <w:b/>
          <w:bCs/>
          <w:sz w:val="32"/>
          <w:szCs w:val="32"/>
        </w:rPr>
      </w:pPr>
      <w:r>
        <w:rPr>
          <w:rFonts w:hint="eastAsia" w:ascii="仿宋_GB2312" w:eastAsia="仿宋_GB2312"/>
          <w:b/>
          <w:bCs/>
          <w:sz w:val="32"/>
          <w:szCs w:val="32"/>
        </w:rPr>
        <w:t>（二）社会保障和就业支出（类）行政事业单位养老支出（款）其他行政事业单位养老支出（项）：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eastAsia="仿宋_GB2312"/>
        </w:rPr>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eastAsia="仿宋_GB2312"/>
        </w:rPr>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eastAsia="仿宋_GB2312"/>
        </w:rPr>
      </w:pPr>
      <w:r>
        <w:rPr>
          <w:rFonts w:hint="eastAsia" w:ascii="仿宋_GB2312" w:eastAsia="仿宋_GB2312"/>
          <w:b/>
          <w:bCs/>
          <w:sz w:val="32"/>
          <w:szCs w:val="32"/>
        </w:rPr>
        <w:t>（五）卫生健康支出（类）行政事业单位医疗（款）事业单位医疗（项）：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eastAsia="仿宋_GB2312"/>
        </w:rPr>
      </w:pPr>
      <w:r>
        <w:rPr>
          <w:rFonts w:hint="eastAsia" w:ascii="仿宋_GB2312" w:eastAsia="仿宋_GB2312"/>
          <w:b/>
          <w:bCs/>
          <w:sz w:val="32"/>
          <w:szCs w:val="32"/>
        </w:rPr>
        <w:t>（六）卫生健康支出（类）行政事业单位医疗（款）公务员医疗补助（项）：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（七）社会保障和就业支出（类）其他社会保障和就业支出（款）其他社会保障和就业支出（项）：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（八）住房保障支出（类）住房改革支出（款）住房公积金（项）：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（九）教育支出（类）普通教育（款）小学教育（项）：</w:t>
      </w:r>
      <w:r>
        <w:rPr>
          <w:rFonts w:hint="eastAsia" w:ascii="仿宋_GB2312" w:eastAsia="仿宋_GB2312"/>
          <w:sz w:val="32"/>
          <w:szCs w:val="32"/>
        </w:rPr>
        <w:t>反映各部门举办的小学教育支出。政府各部门对社会组织等举办的小学的资助，如捐赠、补贴等，也在本科目中反映。</w:t>
      </w:r>
    </w:p>
    <w:p>
      <w:pPr>
        <w:ind w:firstLine="619" w:firstLineChars="200"/>
        <w:rPr>
          <w:rFonts w:ascii="黑体" w:hAnsi="宋体" w:eastAsia="黑体"/>
          <w:color w:val="000000"/>
          <w:sz w:val="32"/>
          <w:szCs w:val="32"/>
        </w:rPr>
      </w:pPr>
      <w:r>
        <w:rPr>
          <w:rFonts w:hint="eastAsia" w:ascii="仿宋_GB2312" w:hAnsi="仿宋" w:eastAsia="仿宋_GB2312"/>
          <w:b/>
          <w:spacing w:val="-6"/>
          <w:sz w:val="32"/>
          <w:szCs w:val="32"/>
        </w:rPr>
        <w:t>（十）教育支出（类）普通教育（款）学前教育（项）：</w:t>
      </w:r>
      <w:r>
        <w:rPr>
          <w:rFonts w:hint="eastAsia" w:ascii="仿宋_GB2312" w:eastAsia="仿宋_GB2312"/>
          <w:sz w:val="32"/>
          <w:szCs w:val="32"/>
        </w:rPr>
        <w:t>反映各部门举办的学前教育支出。政府各部门对社会组织等举办的幼儿园的资助，如捐赠、补贴等，也在本科目中的反映。</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18</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B6CBC"/>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7DD"/>
    <w:rsid w:val="004D5ECB"/>
    <w:rsid w:val="004E1B91"/>
    <w:rsid w:val="004E2DDF"/>
    <w:rsid w:val="004E6982"/>
    <w:rsid w:val="004F03A5"/>
    <w:rsid w:val="004F2AFD"/>
    <w:rsid w:val="004F3B4F"/>
    <w:rsid w:val="004F3DD4"/>
    <w:rsid w:val="004F3E68"/>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057"/>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578FD"/>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44AF"/>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576A"/>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C6315"/>
    <w:rsid w:val="00ED38C5"/>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354AC2"/>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A718E3"/>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8D4EB4"/>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1536</Words>
  <Characters>8758</Characters>
  <Lines>72</Lines>
  <Paragraphs>20</Paragraphs>
  <TotalTime>3</TotalTime>
  <ScaleCrop>false</ScaleCrop>
  <LinksUpToDate>false</LinksUpToDate>
  <CharactersWithSpaces>10274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2023-06-06T07:14:18Z</dcterms:modified>
  <dc:title>×××部门</dc:title>
  <cp:revision>399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65F2C73C74F1419BBBCDD820C395E758_13</vt:lpwstr>
  </property>
</Properties>
</file>