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湟源县城关第一小学</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承担城关镇义务教育小学阶段教学工作教育教学活动。</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我单位内设校长1人，副校长1人；下设学校办公室、教务处、总务处、党办、团队室。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纳入湟源县城关第一小学2023年部门预算编制范围的二级预算单位包括：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1709.87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1103.20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341.85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161.54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105.29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1709.87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1711.88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1711.88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1711.88</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1711.88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1709.87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1711.88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1709.87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湟源县城关第一小学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1711.88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1709.87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750" w:type="dxa"/>
        <w:jc w:val="center"/>
        <w:tblLayout w:type="fixed"/>
        <w:tblCellMar>
          <w:top w:w="0" w:type="dxa"/>
          <w:left w:w="108" w:type="dxa"/>
          <w:bottom w:w="0" w:type="dxa"/>
          <w:right w:w="108" w:type="dxa"/>
        </w:tblCellMar>
      </w:tblPr>
      <w:tblGrid>
        <w:gridCol w:w="1100"/>
        <w:gridCol w:w="3917"/>
        <w:gridCol w:w="1122"/>
        <w:gridCol w:w="1122"/>
        <w:gridCol w:w="1122"/>
        <w:gridCol w:w="1122"/>
        <w:gridCol w:w="1122"/>
        <w:gridCol w:w="1123"/>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1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1711.88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1534.94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176.94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1103.20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926.27</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176.94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1103.20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926.27</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176.94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0.01</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926.27</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926.27</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176.93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176.93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341.85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341.85</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324.02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324.02</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113.18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113.18</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56.59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56.59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154.26</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154.26</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161.54</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108.40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108.40</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53.13</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299"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1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105.29</w:t>
            </w: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983"/>
        <w:gridCol w:w="2075"/>
        <w:gridCol w:w="1259"/>
        <w:gridCol w:w="123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3"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93"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3"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1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781"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8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07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3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1709.87</w:t>
            </w: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1711.88</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1711.88</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1709.87</w:t>
            </w: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1103.20</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1103.20</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161.54</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161.54</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105.29</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105.29</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2075" w:type="dxa"/>
            <w:shd w:val="clear" w:color="auto" w:fill="FFFFFF"/>
            <w:noWrap/>
            <w:vAlign w:val="center"/>
          </w:tcPr>
          <w:p>
            <w:pPr>
              <w:widowControl/>
              <w:jc w:val="left"/>
              <w:rPr>
                <w:rFonts w:ascii="宋体" w:hAnsi="宋体" w:cs="宋体"/>
                <w:kern w:val="0"/>
                <w:sz w:val="20"/>
              </w:rPr>
            </w:pP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83" w:type="dxa"/>
            <w:shd w:val="clear" w:color="auto" w:fill="FFFFFF"/>
            <w:noWrap/>
            <w:vAlign w:val="center"/>
          </w:tcPr>
          <w:p>
            <w:pPr>
              <w:widowControl/>
              <w:jc w:val="center"/>
              <w:rPr>
                <w:rFonts w:ascii="宋体" w:hAnsi="宋体" w:cs="宋体"/>
                <w:kern w:val="0"/>
                <w:sz w:val="20"/>
              </w:rPr>
            </w:pPr>
          </w:p>
        </w:tc>
        <w:tc>
          <w:tcPr>
            <w:tcW w:w="2075" w:type="dxa"/>
            <w:shd w:val="clear" w:color="auto" w:fill="FFFFFF"/>
            <w:noWrap/>
            <w:vAlign w:val="center"/>
          </w:tcPr>
          <w:p>
            <w:pPr>
              <w:widowControl/>
              <w:jc w:val="left"/>
              <w:rPr>
                <w:rFonts w:ascii="宋体" w:hAnsi="宋体" w:cs="宋体"/>
                <w:kern w:val="0"/>
                <w:sz w:val="20"/>
              </w:rPr>
            </w:pP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29"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8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1711.88</w:t>
            </w:r>
          </w:p>
        </w:tc>
        <w:tc>
          <w:tcPr>
            <w:tcW w:w="2075"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5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1711.88</w:t>
            </w:r>
          </w:p>
        </w:tc>
        <w:tc>
          <w:tcPr>
            <w:tcW w:w="123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1711.88</w:t>
            </w:r>
          </w:p>
        </w:tc>
        <w:tc>
          <w:tcPr>
            <w:tcW w:w="121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89"/>
        <w:gridCol w:w="1390"/>
        <w:gridCol w:w="1390"/>
        <w:gridCol w:w="1391"/>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3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7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8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3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1709.87</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1534.94</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174.93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1101.19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926.27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174.93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1101.19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926.27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174.93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926.27</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926.27</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174.93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174.93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341.85</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341.85</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324.02</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324.02</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113.18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113.18</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56.59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56.59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154.26</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154.26</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17.83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17.83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161.54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161.54</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161.54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161.54</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108.40</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108.40</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53.13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53.13</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105.29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105.29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105.29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105.29</w:t>
            </w:r>
          </w:p>
        </w:tc>
        <w:tc>
          <w:tcPr>
            <w:tcW w:w="13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390"/>
        <w:gridCol w:w="2185"/>
        <w:gridCol w:w="2185"/>
        <w:gridCol w:w="218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69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55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8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69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1534.94</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1511.94</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1292.53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1292.53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280.53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280.53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252.20</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252.20</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370.53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113.18</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113.18</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56.59</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56.59</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43.25</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43.25</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53.13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17.83</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105.29</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105.29</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23.00</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23.00</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219.41</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219.41</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153.41</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153.41</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65.15</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65.15</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39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湟源县城关第一小学2023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湟源县城关第一小学</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一般公共预算拨款收入1709.87万元，上年结转2.01万元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教育支出1103.20万元，社会保障和就业支出341.85万元，卫生健康支出161.54万元，住房保障支出105.29万元</w:t>
      </w:r>
      <w:r>
        <w:rPr>
          <w:rFonts w:hint="eastAsia" w:ascii="仿宋_GB2312" w:eastAsia="仿宋_GB2312"/>
          <w:sz w:val="32"/>
          <w:szCs w:val="32"/>
        </w:rPr>
        <w:t>。</w:t>
      </w:r>
      <w:r>
        <w:rPr>
          <w:rFonts w:hint="eastAsia" w:ascii="仿宋_GB2312" w:eastAsia="仿宋_GB2312"/>
          <w:sz w:val="32"/>
          <w:szCs w:val="32"/>
          <w:lang w:val="en-US" w:eastAsia="zh-CN"/>
        </w:rPr>
        <w:t>湟源县城关第一小学2023</w:t>
      </w:r>
      <w:r>
        <w:rPr>
          <w:rFonts w:hint="eastAsia" w:ascii="仿宋_GB2312" w:eastAsia="仿宋_GB2312"/>
          <w:sz w:val="32"/>
          <w:szCs w:val="32"/>
        </w:rPr>
        <w:t>年收支总预算</w:t>
      </w:r>
      <w:r>
        <w:rPr>
          <w:rFonts w:hint="eastAsia" w:ascii="仿宋_GB2312" w:eastAsia="仿宋_GB2312"/>
          <w:sz w:val="32"/>
          <w:szCs w:val="32"/>
          <w:lang w:val="en-US" w:eastAsia="zh-CN"/>
        </w:rPr>
        <w:t>1711.88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湟源县城关第一小学2023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年收入预算</w:t>
      </w:r>
      <w:r>
        <w:rPr>
          <w:rFonts w:hint="eastAsia" w:ascii="仿宋_GB2312" w:eastAsia="仿宋_GB2312"/>
          <w:sz w:val="32"/>
          <w:szCs w:val="32"/>
          <w:lang w:val="en-US" w:eastAsia="zh-CN"/>
        </w:rPr>
        <w:t>1711.88</w:t>
      </w:r>
      <w:r>
        <w:rPr>
          <w:rFonts w:hint="eastAsia" w:ascii="仿宋_GB2312" w:eastAsia="仿宋_GB2312"/>
          <w:sz w:val="32"/>
          <w:szCs w:val="32"/>
        </w:rPr>
        <w:t>万元，其中：</w:t>
      </w:r>
      <w:r>
        <w:rPr>
          <w:rFonts w:hint="eastAsia" w:ascii="仿宋_GB2312" w:eastAsia="仿宋_GB2312"/>
          <w:sz w:val="32"/>
          <w:szCs w:val="32"/>
          <w:lang w:val="en-US" w:eastAsia="zh-CN"/>
        </w:rPr>
        <w:t>上年结转2.01万元，占0.12%；一般公共预算拨款收入1709.87万元，占99.88%</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8.85pt;width:367.1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湟源县城关第一小学2023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年支出预算</w:t>
      </w:r>
      <w:r>
        <w:rPr>
          <w:rFonts w:hint="eastAsia" w:ascii="仿宋_GB2312" w:eastAsia="仿宋_GB2312"/>
          <w:sz w:val="32"/>
          <w:szCs w:val="32"/>
          <w:lang w:val="en-US" w:eastAsia="zh-CN"/>
        </w:rPr>
        <w:t>1711.88</w:t>
      </w:r>
      <w:r>
        <w:rPr>
          <w:rFonts w:hint="eastAsia" w:ascii="仿宋_GB2312" w:eastAsia="仿宋_GB2312"/>
          <w:sz w:val="32"/>
          <w:szCs w:val="32"/>
        </w:rPr>
        <w:t>万元，其中：</w:t>
      </w:r>
      <w:r>
        <w:rPr>
          <w:rFonts w:hint="eastAsia" w:ascii="仿宋_GB2312" w:eastAsia="仿宋_GB2312"/>
          <w:sz w:val="32"/>
          <w:szCs w:val="32"/>
          <w:lang w:val="en-US" w:eastAsia="zh-CN"/>
        </w:rPr>
        <w:t>基本支出1534.94万元，占89.66%；项目支出176.94万元，占10.34%</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5.75pt;width:360.3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湟源县城关第一小学2023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1711.88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增加192.03</w:t>
      </w:r>
      <w:r>
        <w:rPr>
          <w:rFonts w:hint="eastAsia" w:ascii="仿宋_GB2312" w:eastAsia="仿宋_GB2312"/>
          <w:sz w:val="32"/>
          <w:szCs w:val="32"/>
        </w:rPr>
        <w:t>万元，主要是学校项目增加。收入包括：</w:t>
      </w:r>
      <w:r>
        <w:rPr>
          <w:rFonts w:hint="eastAsia" w:ascii="仿宋_GB2312" w:eastAsia="仿宋_GB2312"/>
          <w:sz w:val="32"/>
          <w:szCs w:val="32"/>
          <w:lang w:val="en-US" w:eastAsia="zh-CN"/>
        </w:rPr>
        <w:t>一般公共预算拨款收入1709.87万元，上年结转2.01万元；政府性基金预算拨款收入0.00万元，上年结转0.00万元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教育支出1103.20万元， 社会保障和就业支出341.85万元， 卫生健康支出161.54万元， 住房保障支出105.29万元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70.2pt;width:369.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湟源县城关第一小学2023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1709.87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增加190.02</w:t>
      </w:r>
      <w:r>
        <w:rPr>
          <w:rFonts w:hint="eastAsia" w:ascii="仿宋_GB2312" w:eastAsia="仿宋_GB2312"/>
          <w:sz w:val="32"/>
          <w:szCs w:val="32"/>
        </w:rPr>
        <w:t>万元，主要是预算项目下沉到了学校</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6.5pt;width:369.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教育支出1101.19万元，占64.40%；社会保障和就业支出341.85万元，占19.99%；卫生健康支出161.54万元，占9.45%；住房保障支出105.29万元，占6.16%</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6.15pt;width:361.2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减少3.88</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eastAsia="zh-CN"/>
        </w:rPr>
        <w:t>招生较上年有所减少，教师核编减少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926.27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增加68.50</w:t>
      </w:r>
      <w:r>
        <w:rPr>
          <w:rFonts w:hint="eastAsia" w:ascii="仿宋_GB2312" w:eastAsia="仿宋_GB2312"/>
          <w:sz w:val="32"/>
          <w:szCs w:val="32"/>
        </w:rPr>
        <w:t>万元，</w:t>
      </w:r>
      <w:r>
        <w:rPr>
          <w:rFonts w:hint="eastAsia" w:ascii="仿宋_GB2312" w:eastAsia="仿宋_GB2312"/>
          <w:sz w:val="32"/>
          <w:szCs w:val="32"/>
          <w:lang w:val="en-US" w:eastAsia="zh-CN"/>
        </w:rPr>
        <w:t>增长7.99</w:t>
      </w:r>
      <w:r>
        <w:rPr>
          <w:rFonts w:hint="eastAsia" w:ascii="仿宋_GB2312" w:eastAsia="仿宋_GB2312"/>
          <w:sz w:val="32"/>
          <w:szCs w:val="32"/>
        </w:rPr>
        <w:t>%。主要是</w:t>
      </w:r>
      <w:r>
        <w:rPr>
          <w:rFonts w:hint="eastAsia" w:ascii="仿宋_GB2312" w:eastAsia="仿宋_GB2312"/>
          <w:sz w:val="32"/>
          <w:szCs w:val="32"/>
          <w:lang w:eastAsia="zh-CN"/>
        </w:rPr>
        <w:t>教师职称晋级工资收入提高</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174.93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增加57.93</w:t>
      </w:r>
      <w:r>
        <w:rPr>
          <w:rFonts w:hint="eastAsia" w:ascii="仿宋_GB2312" w:eastAsia="仿宋_GB2312"/>
          <w:sz w:val="32"/>
          <w:szCs w:val="32"/>
        </w:rPr>
        <w:t>万元，</w:t>
      </w:r>
      <w:r>
        <w:rPr>
          <w:rFonts w:hint="eastAsia" w:ascii="仿宋_GB2312" w:eastAsia="仿宋_GB2312"/>
          <w:sz w:val="32"/>
          <w:szCs w:val="32"/>
          <w:lang w:val="en-US" w:eastAsia="zh-CN"/>
        </w:rPr>
        <w:t>增长49.51</w:t>
      </w:r>
      <w:r>
        <w:rPr>
          <w:rFonts w:hint="eastAsia" w:ascii="仿宋_GB2312" w:eastAsia="仿宋_GB2312"/>
          <w:sz w:val="32"/>
          <w:szCs w:val="32"/>
        </w:rPr>
        <w:t>%。主要是教师职称晋级工资收入提高。</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113.18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增加23.65</w:t>
      </w:r>
      <w:r>
        <w:rPr>
          <w:rFonts w:hint="eastAsia" w:ascii="仿宋_GB2312" w:eastAsia="仿宋_GB2312"/>
          <w:sz w:val="32"/>
          <w:szCs w:val="32"/>
        </w:rPr>
        <w:t>万元，</w:t>
      </w:r>
      <w:r>
        <w:rPr>
          <w:rFonts w:hint="eastAsia" w:ascii="仿宋_GB2312" w:eastAsia="仿宋_GB2312"/>
          <w:sz w:val="32"/>
          <w:szCs w:val="32"/>
          <w:lang w:val="en-US" w:eastAsia="zh-CN"/>
        </w:rPr>
        <w:t>增长26.42</w:t>
      </w:r>
      <w:r>
        <w:rPr>
          <w:rFonts w:hint="eastAsia" w:ascii="仿宋_GB2312" w:eastAsia="仿宋_GB2312"/>
          <w:sz w:val="32"/>
          <w:szCs w:val="32"/>
        </w:rPr>
        <w:t>%。主要是教师职称晋级工资收入提高。</w:t>
      </w:r>
    </w:p>
    <w:p>
      <w:pPr>
        <w:ind w:firstLine="645"/>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增加11.83</w:t>
      </w:r>
      <w:r>
        <w:rPr>
          <w:rFonts w:hint="eastAsia" w:ascii="仿宋_GB2312" w:eastAsia="仿宋_GB2312"/>
          <w:sz w:val="32"/>
          <w:szCs w:val="32"/>
        </w:rPr>
        <w:t>万元，</w:t>
      </w:r>
      <w:r>
        <w:rPr>
          <w:rFonts w:hint="eastAsia" w:ascii="仿宋_GB2312" w:eastAsia="仿宋_GB2312"/>
          <w:sz w:val="32"/>
          <w:szCs w:val="32"/>
          <w:lang w:val="en-US" w:eastAsia="zh-CN"/>
        </w:rPr>
        <w:t>增长26.43</w:t>
      </w:r>
      <w:r>
        <w:rPr>
          <w:rFonts w:hint="eastAsia" w:ascii="仿宋_GB2312" w:eastAsia="仿宋_GB2312"/>
          <w:sz w:val="32"/>
          <w:szCs w:val="32"/>
        </w:rPr>
        <w:t>%。主要是教师职称晋级工资收入提高。</w:t>
      </w:r>
    </w:p>
    <w:p>
      <w:pPr>
        <w:ind w:firstLine="645"/>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154.26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增加0.71</w:t>
      </w:r>
      <w:r>
        <w:rPr>
          <w:rFonts w:hint="eastAsia" w:ascii="仿宋_GB2312" w:eastAsia="仿宋_GB2312"/>
          <w:sz w:val="32"/>
          <w:szCs w:val="32"/>
        </w:rPr>
        <w:t>万元，</w:t>
      </w:r>
      <w:r>
        <w:rPr>
          <w:rFonts w:hint="eastAsia" w:ascii="仿宋_GB2312" w:eastAsia="仿宋_GB2312"/>
          <w:sz w:val="32"/>
          <w:szCs w:val="32"/>
          <w:lang w:val="en-US" w:eastAsia="zh-CN"/>
        </w:rPr>
        <w:t>增长0.46</w:t>
      </w:r>
      <w:r>
        <w:rPr>
          <w:rFonts w:hint="eastAsia" w:ascii="仿宋_GB2312" w:eastAsia="仿宋_GB2312"/>
          <w:sz w:val="32"/>
          <w:szCs w:val="32"/>
        </w:rPr>
        <w:t>%。主要是教师职称晋级工资收入提高。</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增加11.06</w:t>
      </w:r>
      <w:r>
        <w:rPr>
          <w:rFonts w:hint="eastAsia" w:ascii="仿宋_GB2312" w:eastAsia="仿宋_GB2312"/>
          <w:sz w:val="32"/>
          <w:szCs w:val="32"/>
        </w:rPr>
        <w:t>万元，</w:t>
      </w:r>
      <w:r>
        <w:rPr>
          <w:rFonts w:hint="eastAsia" w:ascii="仿宋_GB2312" w:eastAsia="仿宋_GB2312"/>
          <w:sz w:val="32"/>
          <w:szCs w:val="32"/>
          <w:lang w:val="en-US" w:eastAsia="zh-CN"/>
        </w:rPr>
        <w:t>增长163.37</w:t>
      </w:r>
      <w:r>
        <w:rPr>
          <w:rFonts w:hint="eastAsia" w:ascii="仿宋_GB2312" w:eastAsia="仿宋_GB2312"/>
          <w:sz w:val="32"/>
          <w:szCs w:val="32"/>
        </w:rPr>
        <w:t>%。主要是教师职称晋级工资收入提高。</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减少2.05</w:t>
      </w:r>
      <w:r>
        <w:rPr>
          <w:rFonts w:hint="eastAsia" w:ascii="仿宋_GB2312" w:eastAsia="仿宋_GB2312"/>
          <w:sz w:val="32"/>
          <w:szCs w:val="32"/>
        </w:rPr>
        <w:t>万元，</w:t>
      </w:r>
      <w:r>
        <w:rPr>
          <w:rFonts w:hint="eastAsia" w:ascii="仿宋_GB2312" w:eastAsia="仿宋_GB2312"/>
          <w:sz w:val="32"/>
          <w:szCs w:val="32"/>
          <w:lang w:val="en-US" w:eastAsia="zh-CN"/>
        </w:rPr>
        <w:t>下降1.86</w:t>
      </w:r>
      <w:r>
        <w:rPr>
          <w:rFonts w:hint="eastAsia" w:ascii="仿宋_GB2312" w:eastAsia="仿宋_GB2312"/>
          <w:sz w:val="32"/>
          <w:szCs w:val="32"/>
        </w:rPr>
        <w:t>%。主要是</w:t>
      </w:r>
      <w:r>
        <w:rPr>
          <w:rFonts w:hint="eastAsia" w:ascii="仿宋_GB2312" w:eastAsia="仿宋_GB2312"/>
          <w:sz w:val="32"/>
          <w:szCs w:val="32"/>
          <w:lang w:eastAsia="zh-CN"/>
        </w:rPr>
        <w:t>教师职称晋级工资收入提高</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53.13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减少1.26</w:t>
      </w:r>
      <w:r>
        <w:rPr>
          <w:rFonts w:hint="eastAsia" w:ascii="仿宋_GB2312" w:eastAsia="仿宋_GB2312"/>
          <w:sz w:val="32"/>
          <w:szCs w:val="32"/>
        </w:rPr>
        <w:t>万元，</w:t>
      </w:r>
      <w:r>
        <w:rPr>
          <w:rFonts w:hint="eastAsia" w:ascii="仿宋_GB2312" w:eastAsia="仿宋_GB2312"/>
          <w:sz w:val="32"/>
          <w:szCs w:val="32"/>
          <w:lang w:val="en-US" w:eastAsia="zh-CN"/>
        </w:rPr>
        <w:t>下降2.32</w:t>
      </w:r>
      <w:r>
        <w:rPr>
          <w:rFonts w:hint="eastAsia" w:ascii="仿宋_GB2312" w:eastAsia="仿宋_GB2312"/>
          <w:sz w:val="32"/>
          <w:szCs w:val="32"/>
        </w:rPr>
        <w:t>%。主要是</w:t>
      </w:r>
      <w:r>
        <w:rPr>
          <w:rFonts w:hint="eastAsia" w:ascii="仿宋_GB2312" w:eastAsia="仿宋_GB2312"/>
          <w:sz w:val="32"/>
          <w:szCs w:val="32"/>
          <w:lang w:eastAsia="zh-CN"/>
        </w:rPr>
        <w:t>教师职称晋级工资收入提高</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105.29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增加23.56</w:t>
      </w:r>
      <w:r>
        <w:rPr>
          <w:rFonts w:hint="eastAsia" w:ascii="仿宋_GB2312" w:eastAsia="仿宋_GB2312"/>
          <w:sz w:val="32"/>
          <w:szCs w:val="32"/>
        </w:rPr>
        <w:t>万元，</w:t>
      </w:r>
      <w:r>
        <w:rPr>
          <w:rFonts w:hint="eastAsia" w:ascii="仿宋_GB2312" w:eastAsia="仿宋_GB2312"/>
          <w:sz w:val="32"/>
          <w:szCs w:val="32"/>
          <w:lang w:val="en-US" w:eastAsia="zh-CN"/>
        </w:rPr>
        <w:t>增长28.83</w:t>
      </w:r>
      <w:r>
        <w:rPr>
          <w:rFonts w:hint="eastAsia" w:ascii="仿宋_GB2312" w:eastAsia="仿宋_GB2312"/>
          <w:sz w:val="32"/>
          <w:szCs w:val="32"/>
        </w:rPr>
        <w:t>%。主要是</w:t>
      </w:r>
      <w:r>
        <w:rPr>
          <w:rFonts w:hint="eastAsia" w:ascii="仿宋_GB2312" w:eastAsia="仿宋_GB2312"/>
          <w:sz w:val="32"/>
          <w:szCs w:val="32"/>
          <w:lang w:eastAsia="zh-CN"/>
        </w:rPr>
        <w:t>教师职称晋级工资收入提高</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湟源县城关第一小学2023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1534.94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1511.94</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280.53万元、津贴补贴252.20万元、绩效工资370.53万元、机关事业单位基本养老保险缴费113.18万元、职业年金缴费56.59万元、职工基本医疗保险缴费43.25万元、公务员医疗补助缴费53.13万元、其他社会保障缴费17.83万元、住房公积金105.29万元、退休费153.41万元、生活补助0.84万元、医疗费补助65.15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23.00</w:t>
      </w:r>
      <w:r>
        <w:rPr>
          <w:rFonts w:hint="eastAsia" w:ascii="仿宋_GB2312" w:eastAsia="仿宋_GB2312"/>
          <w:sz w:val="32"/>
          <w:szCs w:val="32"/>
        </w:rPr>
        <w:t>万元，主要包括：</w:t>
      </w:r>
      <w:r>
        <w:rPr>
          <w:rFonts w:hint="eastAsia" w:ascii="仿宋_GB2312" w:eastAsia="仿宋_GB2312"/>
          <w:sz w:val="32"/>
          <w:szCs w:val="32"/>
          <w:lang w:val="en-US" w:eastAsia="zh-CN"/>
        </w:rPr>
        <w:t>工会经费23.00万元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湟源县城关第一小学2023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w:t>
      </w:r>
      <w:r>
        <w:rPr>
          <w:rFonts w:hint="eastAsia" w:ascii="仿宋_GB2312" w:eastAsia="仿宋_GB2312"/>
          <w:sz w:val="32"/>
          <w:szCs w:val="32"/>
          <w:highlight w:val="none"/>
        </w:rPr>
        <w:t>算</w:t>
      </w:r>
      <w:r>
        <w:rPr>
          <w:rFonts w:hint="eastAsia" w:ascii="仿宋_GB2312" w:eastAsia="仿宋_GB2312"/>
          <w:sz w:val="32"/>
          <w:szCs w:val="32"/>
          <w:highlight w:val="none"/>
          <w:lang w:val="en-US" w:eastAsia="zh-CN"/>
        </w:rPr>
        <w:t>与上年比无变动。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湟源县城关第一小学2023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湟源县城关第一小学2023</w:t>
      </w:r>
      <w:r>
        <w:rPr>
          <w:rFonts w:hint="eastAsia" w:ascii="仿宋_GB2312" w:eastAsia="仿宋_GB2312"/>
          <w:sz w:val="32"/>
          <w:szCs w:val="32"/>
        </w:rPr>
        <w:t>年没有使用政府性基金预算拨款安排的支出。</w:t>
      </w:r>
      <w:bookmarkStart w:id="6" w:name="_GoBack"/>
      <w:bookmarkEnd w:id="6"/>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湟源县城关第一小学</w:t>
      </w:r>
      <w:r>
        <w:rPr>
          <w:rFonts w:hint="eastAsia" w:ascii="仿宋_GB2312" w:hAnsi="仿宋" w:eastAsia="仿宋_GB2312"/>
          <w:spacing w:val="-6"/>
          <w:kern w:val="2"/>
          <w:sz w:val="32"/>
          <w:szCs w:val="32"/>
          <w:lang w:val="en-US"/>
        </w:rPr>
        <w:t>机关运行经费财政拨款预算23.00万元，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预算增加8.07万元，增长54.05%。</w:t>
      </w:r>
      <w:r>
        <w:rPr>
          <w:rFonts w:hint="eastAsia" w:ascii="仿宋_GB2312" w:eastAsia="仿宋_GB2312"/>
          <w:sz w:val="32"/>
          <w:szCs w:val="32"/>
        </w:rPr>
        <w:t>主要是</w:t>
      </w:r>
      <w:r>
        <w:rPr>
          <w:rFonts w:hint="eastAsia" w:ascii="仿宋_GB2312" w:eastAsia="仿宋_GB2312"/>
          <w:sz w:val="32"/>
          <w:szCs w:val="32"/>
          <w:lang w:eastAsia="zh-CN"/>
        </w:rPr>
        <w:t>教师职称晋级工资收入提高</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湟源县城关第一小学各单位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湟源县城关第一小学所属各预算单位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湟源县城关第一小学</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174.92</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1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9"/>
        <w:gridCol w:w="1011"/>
        <w:gridCol w:w="1738"/>
        <w:gridCol w:w="792"/>
        <w:gridCol w:w="783"/>
        <w:gridCol w:w="1642"/>
        <w:gridCol w:w="923"/>
        <w:gridCol w:w="911"/>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18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3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4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1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三区人才生活补助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送教下乡培训</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学校和老师满意度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101.00</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家长和学生满意度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3.12</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64.80</w:t>
            </w:r>
          </w:p>
        </w:tc>
        <w:tc>
          <w:tcPr>
            <w:tcW w:w="1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反映除上述项目以外其他用于普通教育方面的支出。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）社会保障和就业支出（类）行政事业单位养老支出（款）其他行政事业单位养老支出（项）：</w:t>
      </w:r>
      <w:r>
        <w:rPr>
          <w:rFonts w:hint="eastAsia" w:ascii="仿宋_GB2312" w:eastAsia="仿宋_GB2312"/>
          <w:b w:val="0"/>
          <w:bCs w:val="0"/>
          <w:sz w:val="32"/>
          <w:szCs w:val="32"/>
          <w:lang w:eastAsia="zh-CN"/>
        </w:rPr>
        <w:t>反映除上述项目以外其他用于行政事业单位养老方面的支出。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（七）社会保障和就业支出（类）其他社会保障和就业支出（款）其他社会保障和就业支出（项）：</w:t>
      </w:r>
      <w:r>
        <w:rPr>
          <w:rFonts w:hint="eastAsia" w:ascii="仿宋_GB2312" w:eastAsia="仿宋_GB2312"/>
          <w:b w:val="0"/>
          <w:bCs w:val="0"/>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反映各部门举办的小学教育支出。政府各部门对社会组织等举办的小学的资助，如捐赠、补贴等，也在本科目中反映。</w:t>
      </w:r>
    </w:p>
    <w:p>
      <w:pPr>
        <w:ind w:firstLine="619" w:firstLineChars="200"/>
        <w:rPr>
          <w:rFonts w:hint="eastAsia" w:ascii="黑体" w:hAnsi="宋体" w:eastAsia="黑体"/>
          <w:color w:val="000000"/>
          <w:sz w:val="32"/>
          <w:szCs w:val="32"/>
        </w:rPr>
      </w:pPr>
      <w:r>
        <w:rPr>
          <w:rFonts w:hint="eastAsia" w:ascii="仿宋_GB2312" w:hAnsi="仿宋" w:eastAsia="仿宋_GB2312"/>
          <w:b/>
          <w:spacing w:val="-6"/>
          <w:sz w:val="32"/>
          <w:szCs w:val="32"/>
          <w:lang w:val="en-US" w:eastAsia="zh-CN"/>
        </w:rPr>
        <w:t>（十）教育支出（类）普通教育（款）学前教育（项）：</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B35D6C"/>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391B"/>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4871D8"/>
    <w:rsid w:val="15585B86"/>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8129BE"/>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875F3"/>
    <w:rsid w:val="280D0539"/>
    <w:rsid w:val="28123DA1"/>
    <w:rsid w:val="28520659"/>
    <w:rsid w:val="286A598B"/>
    <w:rsid w:val="287A36F4"/>
    <w:rsid w:val="28920A3E"/>
    <w:rsid w:val="28A8476E"/>
    <w:rsid w:val="28D86FE0"/>
    <w:rsid w:val="28EB0DF4"/>
    <w:rsid w:val="28EC45F2"/>
    <w:rsid w:val="290B498A"/>
    <w:rsid w:val="29422464"/>
    <w:rsid w:val="299965AB"/>
    <w:rsid w:val="29B84FCE"/>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43286"/>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AAC35D2"/>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096DEC"/>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6163</Words>
  <Characters>7636</Characters>
  <Lines>43</Lines>
  <Paragraphs>12</Paragraphs>
  <TotalTime>0</TotalTime>
  <ScaleCrop>false</ScaleCrop>
  <LinksUpToDate>false</LinksUpToDate>
  <CharactersWithSpaces>7733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2023-06-08T03:01:02Z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B13705C1AB42402F9A927E6173112D59_13</vt:lpwstr>
  </property>
</Properties>
</file>