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5000" w:type="pct"/>
          </w:tcPr>
          <w:p>
            <w:pPr>
              <w:pStyle w:val="12"/>
              <w:rPr>
                <w:rFonts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5000" w:type="pct"/>
            <w:tcBorders>
              <w:bottom w:val="single" w:color="4F81BD" w:sz="4" w:space="0"/>
            </w:tcBorders>
            <w:vAlign w:val="center"/>
          </w:tcPr>
          <w:p>
            <w:pPr>
              <w:pStyle w:val="12"/>
              <w:jc w:val="center"/>
              <w:rPr>
                <w:rFonts w:hint="eastAsia" w:ascii="Cambria" w:hAnsi="Cambria"/>
                <w:b/>
                <w:sz w:val="80"/>
                <w:szCs w:val="80"/>
              </w:rPr>
            </w:pPr>
            <w:r>
              <w:rPr>
                <w:rFonts w:hint="eastAsia" w:ascii="Cambria" w:hAnsi="Cambria"/>
                <w:b/>
                <w:sz w:val="80"/>
                <w:szCs w:val="80"/>
              </w:rPr>
              <w:t>湟源县大华工业园区</w:t>
            </w:r>
          </w:p>
          <w:p>
            <w:pPr>
              <w:pStyle w:val="12"/>
              <w:jc w:val="center"/>
              <w:rPr>
                <w:rFonts w:ascii="Cambria" w:hAnsi="Cambria"/>
                <w:b/>
                <w:sz w:val="80"/>
                <w:szCs w:val="80"/>
              </w:rPr>
            </w:pPr>
            <w:r>
              <w:rPr>
                <w:rFonts w:hint="eastAsia" w:ascii="Cambria" w:hAnsi="Cambria"/>
                <w:b/>
                <w:sz w:val="80"/>
                <w:szCs w:val="80"/>
              </w:rPr>
              <w:t>管理委员会</w:t>
            </w:r>
          </w:p>
        </w:tc>
      </w:tr>
      <w:tr>
        <w:tblPrEx>
          <w:tblCellMar>
            <w:top w:w="0" w:type="dxa"/>
            <w:left w:w="108" w:type="dxa"/>
            <w:bottom w:w="0" w:type="dxa"/>
            <w:right w:w="108" w:type="dxa"/>
          </w:tblCellMar>
        </w:tblPrEx>
        <w:trPr>
          <w:trHeight w:val="720" w:hRule="atLeast"/>
          <w:jc w:val="center"/>
        </w:trPr>
        <w:tc>
          <w:tcPr>
            <w:tcW w:w="5000" w:type="pct"/>
            <w:tcBorders>
              <w:top w:val="single" w:color="4F81BD" w:sz="4" w:space="0"/>
            </w:tcBorders>
            <w:vAlign w:val="center"/>
          </w:tcPr>
          <w:p>
            <w:pPr>
              <w:pStyle w:val="12"/>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vAlign w:val="center"/>
          </w:tcPr>
          <w:p>
            <w:pPr>
              <w:pStyle w:val="12"/>
              <w:jc w:val="center"/>
            </w:pPr>
          </w:p>
        </w:tc>
      </w:tr>
    </w:tbl>
    <w:p/>
    <w:tbl>
      <w:tblPr>
        <w:tblStyle w:val="5"/>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5000" w:type="pct"/>
          </w:tcPr>
          <w:p>
            <w:pPr>
              <w:pStyle w:val="12"/>
            </w:pPr>
          </w:p>
        </w:tc>
      </w:tr>
    </w:tbl>
    <w:p>
      <w:pPr>
        <w:jc w:val="center"/>
        <w:rPr>
          <w:rFonts w:ascii="华文琥珀" w:hAnsi="楷体" w:eastAsia="华文琥珀"/>
          <w:sz w:val="84"/>
          <w:szCs w:val="84"/>
        </w:rPr>
      </w:pPr>
      <w:r>
        <w:rPr>
          <w:rFonts w:hint="eastAsia" w:ascii="华文琥珀" w:hAnsi="楷体" w:eastAsia="华文琥珀"/>
          <w:sz w:val="84"/>
          <w:szCs w:val="84"/>
        </w:rPr>
        <w:t>2023</w:t>
      </w:r>
      <w:r>
        <w:rPr>
          <w:rFonts w:hint="eastAsia" w:ascii="华文琥珀" w:hAnsi="楷体" w:eastAsia="华文琥珀"/>
          <w:sz w:val="84"/>
          <w:szCs w:val="84"/>
          <w:lang w:val="zh-CN"/>
        </w:rPr>
        <w:t>年部门预算</w:t>
      </w:r>
    </w:p>
    <w:p/>
    <w:p/>
    <w:p/>
    <w:p/>
    <w:p/>
    <w:p/>
    <w:p/>
    <w:p/>
    <w:p/>
    <w:p/>
    <w:p/>
    <w:p/>
    <w:p/>
    <w:p/>
    <w:p/>
    <w:p/>
    <w:p/>
    <w:p/>
    <w:p>
      <w:pPr>
        <w:adjustRightInd w:val="0"/>
        <w:snapToGrid w:val="0"/>
        <w:spacing w:line="560" w:lineRule="exact"/>
        <w:jc w:val="center"/>
        <w:rPr>
          <w:rFonts w:ascii="仿宋" w:hAnsi="仿宋" w:eastAsia="仿宋"/>
          <w:color w:val="000000"/>
          <w:sz w:val="32"/>
          <w:szCs w:val="32"/>
        </w:rPr>
      </w:pPr>
    </w:p>
    <w:p>
      <w:pPr>
        <w:adjustRightInd w:val="0"/>
        <w:snapToGrid w:val="0"/>
        <w:spacing w:line="560" w:lineRule="exact"/>
        <w:ind w:firstLine="720" w:firstLineChars="200"/>
        <w:jc w:val="center"/>
        <w:rPr>
          <w:rFonts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ascii="小标宋" w:eastAsia="小标宋"/>
          <w:color w:val="000000"/>
          <w:sz w:val="36"/>
          <w:szCs w:val="36"/>
        </w:rPr>
      </w:pP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第一部分  部门概况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二、机构设置</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三、部门预算部门构成</w:t>
      </w: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第二部分  部门预算表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 xml:space="preserve">第三部分 </w:t>
      </w:r>
      <w:r>
        <w:rPr>
          <w:rFonts w:ascii="宋体" w:hAnsi="宋体"/>
          <w:b/>
          <w:color w:val="000000"/>
          <w:sz w:val="32"/>
          <w:szCs w:val="32"/>
        </w:rPr>
        <w:t xml:space="preserve"> </w:t>
      </w:r>
      <w:r>
        <w:rPr>
          <w:rFonts w:hint="eastAsia" w:ascii="宋体" w:hAnsi="宋体"/>
          <w:b/>
          <w:color w:val="000000"/>
          <w:sz w:val="32"/>
          <w:szCs w:val="32"/>
        </w:rPr>
        <w:t>部门预算情况说明</w:t>
      </w: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 xml:space="preserve">第四部分 </w:t>
      </w:r>
      <w:r>
        <w:rPr>
          <w:rFonts w:ascii="宋体" w:hAnsi="宋体"/>
          <w:b/>
          <w:color w:val="000000"/>
          <w:sz w:val="32"/>
          <w:szCs w:val="32"/>
        </w:rPr>
        <w:t xml:space="preserve"> </w:t>
      </w:r>
      <w:r>
        <w:rPr>
          <w:rFonts w:hint="eastAsia" w:ascii="宋体" w:hAnsi="宋体"/>
          <w:b/>
          <w:color w:val="000000"/>
          <w:sz w:val="32"/>
          <w:szCs w:val="32"/>
        </w:rPr>
        <w:t>名词解释</w:t>
      </w: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720" w:firstLineChars="200"/>
        <w:jc w:val="center"/>
        <w:rPr>
          <w:rFonts w:ascii="小标宋" w:eastAsia="小标宋"/>
          <w:b/>
          <w:color w:val="000000"/>
          <w:sz w:val="36"/>
          <w:szCs w:val="36"/>
        </w:rPr>
      </w:pPr>
      <w:r>
        <w:rPr>
          <w:rFonts w:hint="eastAsia" w:ascii="小标宋" w:eastAsia="小标宋"/>
          <w:b/>
          <w:color w:val="000000"/>
          <w:sz w:val="36"/>
          <w:szCs w:val="36"/>
        </w:rPr>
        <w:t>第一部分　部门概况</w:t>
      </w:r>
    </w:p>
    <w:p>
      <w:pPr>
        <w:adjustRightInd w:val="0"/>
        <w:snapToGrid w:val="0"/>
        <w:spacing w:line="560" w:lineRule="exact"/>
        <w:ind w:firstLine="600" w:firstLineChars="200"/>
        <w:rPr>
          <w:rFonts w:ascii="黑体" w:eastAsia="黑体"/>
          <w:color w:val="000000"/>
          <w:sz w:val="30"/>
          <w:szCs w:val="30"/>
        </w:rPr>
      </w:pPr>
    </w:p>
    <w:p>
      <w:pPr>
        <w:pStyle w:val="11"/>
        <w:numPr>
          <w:ilvl w:val="0"/>
          <w:numId w:val="1"/>
        </w:numPr>
        <w:adjustRightInd w:val="0"/>
        <w:snapToGrid w:val="0"/>
        <w:spacing w:line="560" w:lineRule="exact"/>
        <w:ind w:firstLineChars="0"/>
        <w:rPr>
          <w:rFonts w:hint="eastAsia" w:ascii="黑体" w:hAnsi="宋体" w:eastAsia="黑体"/>
          <w:color w:val="000000"/>
          <w:sz w:val="32"/>
          <w:szCs w:val="32"/>
        </w:rPr>
      </w:pPr>
      <w:r>
        <w:rPr>
          <w:rFonts w:hint="eastAsia" w:ascii="黑体" w:hAnsi="宋体" w:eastAsia="黑体"/>
          <w:color w:val="000000"/>
          <w:sz w:val="32"/>
          <w:szCs w:val="32"/>
        </w:rPr>
        <w:t>主要职能</w:t>
      </w:r>
    </w:p>
    <w:p>
      <w:pPr>
        <w:ind w:firstLine="640" w:firstLineChars="200"/>
        <w:rPr>
          <w:rFonts w:ascii="仿宋_GB2312" w:eastAsia="仿宋_GB2312"/>
          <w:sz w:val="32"/>
          <w:szCs w:val="32"/>
        </w:rPr>
      </w:pPr>
      <w:r>
        <w:rPr>
          <w:rFonts w:ascii="仿宋_GB2312" w:eastAsia="仿宋_GB2312"/>
          <w:sz w:val="32"/>
          <w:szCs w:val="32"/>
        </w:rPr>
        <w:t>负责工业园区发展规划、项目建设的统一管理和协调服务；负责制定工业园区管理办法和实施细则；负责协调工业园区与有关部门的关系，解决出现的问题和矛盾；积极为工业园区的企业牵线搭桥，引进项目、资金、人力资源和技术，逐步扩大与省内外的合作范围；完成县委、县政府交办的其他事项。</w:t>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二、机构设置</w:t>
      </w:r>
    </w:p>
    <w:p>
      <w:pPr>
        <w:ind w:firstLine="640" w:firstLineChars="200"/>
        <w:rPr>
          <w:rFonts w:ascii="仿宋_GB2312" w:eastAsia="仿宋_GB2312"/>
          <w:sz w:val="32"/>
          <w:szCs w:val="32"/>
        </w:rPr>
      </w:pPr>
      <w:r>
        <w:rPr>
          <w:rFonts w:ascii="仿宋_GB2312" w:eastAsia="仿宋_GB2312"/>
          <w:sz w:val="32"/>
          <w:szCs w:val="32"/>
        </w:rPr>
        <w:t>湟源县大华工业园区管理委员会核定行政编制3名，现有</w:t>
      </w:r>
      <w:r>
        <w:rPr>
          <w:rFonts w:hint="eastAsia" w:ascii="仿宋_GB2312" w:eastAsia="仿宋_GB2312"/>
          <w:sz w:val="32"/>
          <w:szCs w:val="32"/>
        </w:rPr>
        <w:t>3</w:t>
      </w:r>
      <w:r>
        <w:rPr>
          <w:rFonts w:ascii="仿宋_GB2312" w:eastAsia="仿宋_GB2312"/>
          <w:sz w:val="32"/>
          <w:szCs w:val="32"/>
        </w:rPr>
        <w:t>名；中小微企业服务中心核定编制5名，现有5名，其中管理1名，专技4名。</w:t>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三、部门预算部门构成</w:t>
      </w:r>
    </w:p>
    <w:p>
      <w:pPr>
        <w:ind w:firstLine="640" w:firstLineChars="200"/>
        <w:rPr>
          <w:rFonts w:hint="default" w:ascii="仿宋_GB2312" w:eastAsia="仿宋_GB2312"/>
          <w:sz w:val="32"/>
          <w:szCs w:val="32"/>
          <w:u w:val="single"/>
          <w:lang w:val="en-US"/>
        </w:rPr>
      </w:pPr>
      <w:r>
        <w:rPr>
          <w:rFonts w:hint="eastAsia" w:ascii="仿宋_GB2312" w:eastAsia="仿宋_GB2312"/>
          <w:sz w:val="32"/>
          <w:szCs w:val="32"/>
          <w:lang w:val="en-US" w:eastAsia="zh-CN"/>
        </w:rPr>
        <w:t>纳入</w:t>
      </w:r>
      <w:r>
        <w:rPr>
          <w:rFonts w:ascii="仿宋_GB2312" w:eastAsia="仿宋_GB2312"/>
          <w:sz w:val="32"/>
          <w:szCs w:val="32"/>
        </w:rPr>
        <w:t>湟源县大华工业园区管理委员会</w:t>
      </w:r>
      <w:r>
        <w:rPr>
          <w:rFonts w:hint="eastAsia" w:ascii="仿宋_GB2312" w:eastAsia="仿宋_GB2312"/>
          <w:sz w:val="32"/>
          <w:szCs w:val="32"/>
          <w:lang w:val="en-US" w:eastAsia="zh-CN"/>
        </w:rPr>
        <w:t>2023年</w:t>
      </w:r>
      <w:r>
        <w:rPr>
          <w:rFonts w:ascii="仿宋_GB2312" w:eastAsia="仿宋_GB2312"/>
          <w:sz w:val="32"/>
          <w:szCs w:val="32"/>
        </w:rPr>
        <w:t>部门预算编制</w:t>
      </w:r>
      <w:r>
        <w:rPr>
          <w:rFonts w:hint="eastAsia" w:ascii="仿宋_GB2312" w:eastAsia="仿宋_GB2312"/>
          <w:sz w:val="32"/>
          <w:szCs w:val="32"/>
          <w:lang w:val="en-US" w:eastAsia="zh-CN"/>
        </w:rPr>
        <w:t>范围内的二级预算部门包括：</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tcPr>
          <w:p>
            <w:pPr>
              <w:ind w:firstLine="160" w:firstLineChars="50"/>
              <w:rPr>
                <w:rFonts w:ascii="仿宋_GB2312" w:eastAsia="仿宋_GB2312"/>
                <w:sz w:val="32"/>
                <w:szCs w:val="32"/>
              </w:rPr>
            </w:pPr>
            <w:r>
              <w:rPr>
                <w:rFonts w:hint="eastAsia" w:ascii="仿宋_GB2312" w:eastAsia="仿宋_GB2312"/>
                <w:sz w:val="32"/>
                <w:szCs w:val="32"/>
              </w:rPr>
              <w:t>序号</w:t>
            </w:r>
          </w:p>
        </w:tc>
        <w:tc>
          <w:tcPr>
            <w:tcW w:w="6328" w:type="dxa"/>
          </w:tcPr>
          <w:p>
            <w:pPr>
              <w:jc w:val="center"/>
              <w:rPr>
                <w:rFonts w:ascii="仿宋_GB2312" w:eastAsia="仿宋_GB2312"/>
                <w:sz w:val="32"/>
                <w:szCs w:val="32"/>
              </w:rPr>
            </w:pPr>
            <w:r>
              <w:rPr>
                <w:rFonts w:hint="eastAsia" w:ascii="仿宋_GB2312" w:eastAsia="仿宋_GB2312"/>
                <w:sz w:val="32"/>
                <w:szCs w:val="32"/>
              </w:rPr>
              <w:t>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tcPr>
          <w:p>
            <w:pPr>
              <w:jc w:val="center"/>
              <w:rPr>
                <w:rFonts w:ascii="仿宋_GB2312" w:eastAsia="仿宋_GB2312"/>
                <w:sz w:val="32"/>
                <w:szCs w:val="32"/>
              </w:rPr>
            </w:pPr>
            <w:r>
              <w:rPr>
                <w:rFonts w:hint="eastAsia" w:ascii="仿宋_GB2312" w:eastAsia="仿宋_GB2312"/>
                <w:sz w:val="32"/>
                <w:szCs w:val="32"/>
              </w:rPr>
              <w:t>1</w:t>
            </w:r>
          </w:p>
        </w:tc>
        <w:tc>
          <w:tcPr>
            <w:tcW w:w="6328" w:type="dxa"/>
          </w:tcPr>
          <w:p>
            <w:pPr>
              <w:jc w:val="center"/>
              <w:rPr>
                <w:rFonts w:hint="eastAsia" w:ascii="仿宋_GB2312" w:eastAsia="仿宋_GB2312"/>
                <w:sz w:val="32"/>
                <w:szCs w:val="32"/>
                <w:lang w:eastAsia="zh-CN"/>
              </w:rPr>
            </w:pPr>
            <w:r>
              <w:rPr>
                <w:rFonts w:hint="eastAsia" w:ascii="仿宋_GB2312" w:eastAsia="仿宋_GB2312"/>
                <w:sz w:val="32"/>
                <w:szCs w:val="32"/>
                <w:lang w:val="en-US" w:eastAsia="zh-CN"/>
              </w:rPr>
              <w:t>无</w:t>
            </w:r>
          </w:p>
        </w:tc>
      </w:tr>
    </w:tbl>
    <w:p>
      <w:pPr>
        <w:adjustRightInd w:val="0"/>
        <w:snapToGrid w:val="0"/>
        <w:spacing w:line="560" w:lineRule="exact"/>
        <w:ind w:firstLine="600" w:firstLineChars="200"/>
        <w:jc w:val="center"/>
        <w:rPr>
          <w:rFonts w:ascii="仿宋_GB2312" w:eastAsia="仿宋_GB2312"/>
          <w:color w:val="000000"/>
          <w:sz w:val="30"/>
          <w:szCs w:val="30"/>
        </w:rPr>
      </w:pPr>
    </w:p>
    <w:p>
      <w:pPr>
        <w:rPr>
          <w:rFonts w:hint="eastAsia" w:ascii="小标宋" w:eastAsia="小标宋"/>
          <w:b/>
          <w:color w:val="000000"/>
          <w:sz w:val="36"/>
          <w:szCs w:val="36"/>
        </w:rPr>
      </w:pPr>
      <w:r>
        <w:rPr>
          <w:rFonts w:hint="eastAsia" w:ascii="小标宋" w:eastAsia="小标宋"/>
          <w:b/>
          <w:color w:val="000000"/>
          <w:sz w:val="36"/>
          <w:szCs w:val="36"/>
        </w:rPr>
        <w:br w:type="page"/>
      </w:r>
    </w:p>
    <w:p>
      <w:pPr>
        <w:adjustRightInd w:val="0"/>
        <w:snapToGrid w:val="0"/>
        <w:spacing w:line="560" w:lineRule="exact"/>
        <w:ind w:firstLine="720" w:firstLineChars="200"/>
        <w:jc w:val="center"/>
        <w:rPr>
          <w:rFonts w:ascii="小标宋" w:eastAsia="小标宋"/>
          <w:b/>
          <w:color w:val="000000"/>
          <w:sz w:val="36"/>
          <w:szCs w:val="36"/>
        </w:rPr>
      </w:pPr>
      <w:r>
        <w:rPr>
          <w:rFonts w:hint="eastAsia" w:ascii="小标宋" w:eastAsia="小标宋"/>
          <w:b/>
          <w:color w:val="000000"/>
          <w:sz w:val="36"/>
          <w:szCs w:val="36"/>
        </w:rPr>
        <w:t>第二部分  部门预算表</w:t>
      </w:r>
    </w:p>
    <w:tbl>
      <w:tblPr>
        <w:tblStyle w:val="5"/>
        <w:tblW w:w="9870" w:type="dxa"/>
        <w:jc w:val="center"/>
        <w:tblLayout w:type="autofit"/>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vAlign w:val="center"/>
          </w:tcPr>
          <w:p>
            <w:pPr>
              <w:widowControl/>
              <w:jc w:val="right"/>
              <w:rPr>
                <w:rFonts w:ascii="宋体" w:hAnsi="宋体" w:cs="宋体"/>
                <w:b/>
                <w:kern w:val="0"/>
                <w:sz w:val="20"/>
              </w:rPr>
            </w:pPr>
            <w:r>
              <w:rPr>
                <w:rFonts w:hint="eastAsia" w:ascii="宋体" w:hAnsi="宋体" w:cs="宋体"/>
                <w:b/>
                <w:kern w:val="0"/>
                <w:sz w:val="20"/>
              </w:rPr>
              <w:t>部门公开表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447.67</w:t>
            </w: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277.91</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126.00</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19.90</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11.20</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12.65</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3000.00</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447.67</w:t>
            </w: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3447.67</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3000.00</w:t>
            </w: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3447.67</w:t>
            </w: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3447.67</w:t>
            </w:r>
          </w:p>
        </w:tc>
      </w:tr>
    </w:tbl>
    <w:p>
      <w:pPr>
        <w:rPr>
          <w:rFonts w:ascii="仿宋_GB2312" w:eastAsia="仿宋_GB2312"/>
          <w:sz w:val="32"/>
          <w:szCs w:val="32"/>
        </w:rPr>
      </w:pPr>
    </w:p>
    <w:tbl>
      <w:tblPr>
        <w:tblStyle w:val="5"/>
        <w:tblpPr w:leftFromText="180" w:rightFromText="180" w:vertAnchor="text" w:horzAnchor="page" w:tblpXSpec="center" w:tblpY="618"/>
        <w:tblOverlap w:val="never"/>
        <w:tblW w:w="11542" w:type="dxa"/>
        <w:jc w:val="center"/>
        <w:tblLayout w:type="fixed"/>
        <w:tblCellMar>
          <w:top w:w="0" w:type="dxa"/>
          <w:left w:w="108" w:type="dxa"/>
          <w:bottom w:w="0" w:type="dxa"/>
          <w:right w:w="108" w:type="dxa"/>
        </w:tblCellMar>
      </w:tblPr>
      <w:tblGrid>
        <w:gridCol w:w="1100"/>
        <w:gridCol w:w="1083"/>
        <w:gridCol w:w="1083"/>
        <w:gridCol w:w="1084"/>
        <w:gridCol w:w="914"/>
        <w:gridCol w:w="914"/>
        <w:gridCol w:w="914"/>
        <w:gridCol w:w="914"/>
        <w:gridCol w:w="914"/>
        <w:gridCol w:w="914"/>
        <w:gridCol w:w="914"/>
        <w:gridCol w:w="794"/>
      </w:tblGrid>
      <w:tr>
        <w:tblPrEx>
          <w:tblCellMar>
            <w:top w:w="0" w:type="dxa"/>
            <w:left w:w="108" w:type="dxa"/>
            <w:bottom w:w="0" w:type="dxa"/>
            <w:right w:w="108" w:type="dxa"/>
          </w:tblCellMar>
        </w:tblPrEx>
        <w:trPr>
          <w:trHeight w:val="392" w:hRule="atLeast"/>
          <w:jc w:val="center"/>
        </w:trPr>
        <w:tc>
          <w:tcPr>
            <w:tcW w:w="11542"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部门公开表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542"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542" w:type="dxa"/>
            <w:gridSpan w:val="12"/>
            <w:tcBorders>
              <w:top w:val="nil"/>
              <w:left w:val="nil"/>
              <w:bottom w:val="single" w:color="auto" w:sz="4" w:space="0"/>
              <w:right w:val="nil"/>
            </w:tcBorders>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预算部门</w:t>
            </w:r>
          </w:p>
        </w:tc>
        <w:tc>
          <w:tcPr>
            <w:tcW w:w="10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0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一般公共预算拨款收入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政府性基金预算拨款收入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附属部门上缴收入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事业部门经营收入</w:t>
            </w:r>
          </w:p>
        </w:tc>
        <w:tc>
          <w:tcPr>
            <w:tcW w:w="7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3447.67</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3000.00</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447.67</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79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湟源县大华工业园区管理委员会</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3447.67</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3000.00</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447.67</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79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湟源县大华工业园区管理委员会（本级）</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3447.67</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3000.00</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447.67</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79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bl>
    <w:p>
      <w:pPr>
        <w:rPr>
          <w:rFonts w:ascii="仿宋_GB2312" w:eastAsia="仿宋_GB2312"/>
          <w:sz w:val="32"/>
          <w:szCs w:val="32"/>
        </w:rPr>
      </w:pPr>
      <w:r>
        <w:rPr>
          <w:rFonts w:hint="eastAsia" w:ascii="仿宋_GB2312" w:eastAsia="仿宋_GB2312"/>
          <w:sz w:val="32"/>
          <w:szCs w:val="32"/>
        </w:rPr>
        <w:br w:type="page"/>
      </w:r>
    </w:p>
    <w:tbl>
      <w:tblPr>
        <w:tblStyle w:val="5"/>
        <w:tblW w:w="11750" w:type="dxa"/>
        <w:jc w:val="center"/>
        <w:tblLayout w:type="fixed"/>
        <w:tblCellMar>
          <w:top w:w="0" w:type="dxa"/>
          <w:left w:w="108" w:type="dxa"/>
          <w:bottom w:w="0" w:type="dxa"/>
          <w:right w:w="108" w:type="dxa"/>
        </w:tblCellMar>
      </w:tblPr>
      <w:tblGrid>
        <w:gridCol w:w="1100"/>
        <w:gridCol w:w="3758"/>
        <w:gridCol w:w="1148"/>
        <w:gridCol w:w="1148"/>
        <w:gridCol w:w="1148"/>
        <w:gridCol w:w="1148"/>
        <w:gridCol w:w="1148"/>
        <w:gridCol w:w="1152"/>
      </w:tblGrid>
      <w:tr>
        <w:tblPrEx>
          <w:tblCellMar>
            <w:top w:w="0" w:type="dxa"/>
            <w:left w:w="108" w:type="dxa"/>
            <w:bottom w:w="0" w:type="dxa"/>
            <w:right w:w="108" w:type="dxa"/>
          </w:tblCellMar>
        </w:tblPrEx>
        <w:trPr>
          <w:trHeight w:val="187" w:hRule="atLeast"/>
          <w:jc w:val="center"/>
        </w:trPr>
        <w:tc>
          <w:tcPr>
            <w:tcW w:w="11750"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rPr>
              <w:t>部门公开表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750"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750" w:type="dxa"/>
            <w:gridSpan w:val="8"/>
            <w:tcBorders>
              <w:top w:val="nil"/>
              <w:left w:val="nil"/>
              <w:bottom w:val="single" w:color="auto" w:sz="4" w:space="0"/>
              <w:right w:val="nil"/>
            </w:tcBorders>
            <w:shd w:val="clear" w:color="auto" w:fill="FFFFFF"/>
            <w:noWrap/>
            <w:vAlign w:val="center"/>
          </w:tcPr>
          <w:p>
            <w:pPr>
              <w:widowControl/>
              <w:jc w:val="right"/>
              <w:rPr>
                <w:rFonts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37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事业部门经营支出</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对附属部门补助支出</w:t>
            </w:r>
          </w:p>
        </w:tc>
      </w:tr>
      <w:tr>
        <w:tblPrEx>
          <w:tblCellMar>
            <w:top w:w="0" w:type="dxa"/>
            <w:left w:w="108" w:type="dxa"/>
            <w:bottom w:w="0" w:type="dxa"/>
            <w:right w:w="108" w:type="dxa"/>
          </w:tblCellMar>
        </w:tblPrEx>
        <w:trPr>
          <w:trHeight w:val="324" w:hRule="atLeast"/>
          <w:jc w:val="center"/>
        </w:trPr>
        <w:tc>
          <w:tcPr>
            <w:tcW w:w="485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3447.67</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221.67</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3226.00</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w:t>
            </w:r>
          </w:p>
        </w:tc>
        <w:tc>
          <w:tcPr>
            <w:tcW w:w="37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一般公共服务支出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277.91</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177.91</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100.00</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20103</w:t>
            </w:r>
          </w:p>
        </w:tc>
        <w:tc>
          <w:tcPr>
            <w:tcW w:w="37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政府办公厅（室）及相关机构事务</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19.21</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2.21</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17.00</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2010301</w:t>
            </w:r>
          </w:p>
        </w:tc>
        <w:tc>
          <w:tcPr>
            <w:tcW w:w="37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行政运行</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19.21</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2.21</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17.00</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20113</w:t>
            </w:r>
          </w:p>
        </w:tc>
        <w:tc>
          <w:tcPr>
            <w:tcW w:w="37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商贸事务</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258.70</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175.70</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83.00</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2011301</w:t>
            </w:r>
          </w:p>
        </w:tc>
        <w:tc>
          <w:tcPr>
            <w:tcW w:w="37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行政运行</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52.90</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52.90</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2011302</w:t>
            </w:r>
          </w:p>
        </w:tc>
        <w:tc>
          <w:tcPr>
            <w:tcW w:w="37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一般行政管理事务</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205.80</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122.80</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83.00</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207</w:t>
            </w:r>
          </w:p>
        </w:tc>
        <w:tc>
          <w:tcPr>
            <w:tcW w:w="37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文化旅游体育与传媒支出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126.00</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126.00</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20701</w:t>
            </w:r>
          </w:p>
        </w:tc>
        <w:tc>
          <w:tcPr>
            <w:tcW w:w="37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文化和旅游</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126.00</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126.00</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2070199</w:t>
            </w:r>
          </w:p>
        </w:tc>
        <w:tc>
          <w:tcPr>
            <w:tcW w:w="37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其他文化和旅游支出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126.00</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126.00</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w:t>
            </w:r>
          </w:p>
        </w:tc>
        <w:tc>
          <w:tcPr>
            <w:tcW w:w="37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社会保障和就业支出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19.90</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19.90</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w:t>
            </w:r>
          </w:p>
        </w:tc>
        <w:tc>
          <w:tcPr>
            <w:tcW w:w="37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行政事业单位养老支出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19.52</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19.52</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2080505</w:t>
            </w:r>
          </w:p>
        </w:tc>
        <w:tc>
          <w:tcPr>
            <w:tcW w:w="37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机关事业单位基本养老保险缴费支出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13.01</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13.01</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2080506</w:t>
            </w:r>
          </w:p>
        </w:tc>
        <w:tc>
          <w:tcPr>
            <w:tcW w:w="37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机关事业单位职业年金缴费支出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6.51</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6.51</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20899</w:t>
            </w:r>
          </w:p>
        </w:tc>
        <w:tc>
          <w:tcPr>
            <w:tcW w:w="37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其他社会保障和就业支出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0.38</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0.38</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2089999</w:t>
            </w:r>
          </w:p>
        </w:tc>
        <w:tc>
          <w:tcPr>
            <w:tcW w:w="37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其他社会保障和就业支出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0.38</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0.38</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w:t>
            </w:r>
          </w:p>
        </w:tc>
        <w:tc>
          <w:tcPr>
            <w:tcW w:w="37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卫生健康支出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11.20</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11.20</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w:t>
            </w:r>
          </w:p>
        </w:tc>
        <w:tc>
          <w:tcPr>
            <w:tcW w:w="37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行政事业单位医疗</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11.20</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11.20</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2101101</w:t>
            </w:r>
          </w:p>
        </w:tc>
        <w:tc>
          <w:tcPr>
            <w:tcW w:w="37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行政单位医疗</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2101102</w:t>
            </w:r>
          </w:p>
        </w:tc>
        <w:tc>
          <w:tcPr>
            <w:tcW w:w="37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事业单位医疗</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2.92</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2.92</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2101103</w:t>
            </w:r>
          </w:p>
        </w:tc>
        <w:tc>
          <w:tcPr>
            <w:tcW w:w="37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公务员医疗补助</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6.18</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6.18</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w:t>
            </w:r>
          </w:p>
        </w:tc>
        <w:tc>
          <w:tcPr>
            <w:tcW w:w="37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住房保障支出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12.65</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12.65</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22102</w:t>
            </w:r>
          </w:p>
        </w:tc>
        <w:tc>
          <w:tcPr>
            <w:tcW w:w="37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住房改革支出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12.65</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12.65</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2210201</w:t>
            </w:r>
          </w:p>
        </w:tc>
        <w:tc>
          <w:tcPr>
            <w:tcW w:w="37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住房公积金</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12.65</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12.65</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229</w:t>
            </w:r>
          </w:p>
        </w:tc>
        <w:tc>
          <w:tcPr>
            <w:tcW w:w="37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3000.00</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3000.00</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22904</w:t>
            </w:r>
          </w:p>
        </w:tc>
        <w:tc>
          <w:tcPr>
            <w:tcW w:w="37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其他政府性基金及对应专项债务收入安排的支出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3000.00</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3000.00</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2290402</w:t>
            </w:r>
          </w:p>
        </w:tc>
        <w:tc>
          <w:tcPr>
            <w:tcW w:w="37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其他地方自行试点项目收益专项债券收入安排的支出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3000.00</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3000.00</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bl>
    <w:p>
      <w:r>
        <w:br w:type="page"/>
      </w:r>
    </w:p>
    <w:tbl>
      <w:tblPr>
        <w:tblStyle w:val="5"/>
        <w:tblpPr w:leftFromText="180" w:rightFromText="180" w:vertAnchor="text" w:horzAnchor="page" w:tblpXSpec="center" w:tblpY="183"/>
        <w:tblOverlap w:val="never"/>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7"/>
        <w:gridCol w:w="942"/>
        <w:gridCol w:w="1900"/>
        <w:gridCol w:w="1175"/>
        <w:gridCol w:w="1275"/>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58" w:type="dxa"/>
            <w:gridSpan w:val="6"/>
            <w:tcBorders>
              <w:top w:val="nil"/>
              <w:left w:val="nil"/>
              <w:bottom w:val="nil"/>
              <w:right w:val="nil"/>
            </w:tcBorders>
            <w:vAlign w:val="center"/>
          </w:tcPr>
          <w:p>
            <w:pPr>
              <w:widowControl/>
              <w:ind w:right="201"/>
              <w:jc w:val="right"/>
              <w:rPr>
                <w:rFonts w:ascii="宋体" w:hAnsi="宋体" w:cs="宋体"/>
                <w:b/>
                <w:kern w:val="0"/>
                <w:sz w:val="20"/>
              </w:rPr>
            </w:pPr>
            <w:r>
              <w:rPr>
                <w:rFonts w:hint="eastAsia" w:ascii="宋体" w:hAnsi="宋体" w:cs="宋体"/>
                <w:b/>
                <w:kern w:val="0"/>
                <w:sz w:val="20"/>
              </w:rPr>
              <w:t>部门公开表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58"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58"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79"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479"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7"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942"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1900"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175"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275"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129"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一、本年收入</w:t>
            </w:r>
          </w:p>
        </w:tc>
        <w:tc>
          <w:tcPr>
            <w:tcW w:w="942"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447.67</w:t>
            </w:r>
          </w:p>
        </w:tc>
        <w:tc>
          <w:tcPr>
            <w:tcW w:w="19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一、本年支出</w:t>
            </w:r>
          </w:p>
        </w:tc>
        <w:tc>
          <w:tcPr>
            <w:tcW w:w="117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3447.67</w:t>
            </w:r>
          </w:p>
        </w:tc>
        <w:tc>
          <w:tcPr>
            <w:tcW w:w="127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447.67</w:t>
            </w:r>
          </w:p>
        </w:tc>
        <w:tc>
          <w:tcPr>
            <w:tcW w:w="1129"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（一）一般公共预算拨款收入</w:t>
            </w:r>
          </w:p>
        </w:tc>
        <w:tc>
          <w:tcPr>
            <w:tcW w:w="942"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447.67</w:t>
            </w:r>
          </w:p>
        </w:tc>
        <w:tc>
          <w:tcPr>
            <w:tcW w:w="19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（一）一般公共服务支出</w:t>
            </w:r>
          </w:p>
        </w:tc>
        <w:tc>
          <w:tcPr>
            <w:tcW w:w="117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277.91</w:t>
            </w:r>
          </w:p>
        </w:tc>
        <w:tc>
          <w:tcPr>
            <w:tcW w:w="127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277.91</w:t>
            </w:r>
          </w:p>
        </w:tc>
        <w:tc>
          <w:tcPr>
            <w:tcW w:w="112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（二）政府性基金预算拨款收入</w:t>
            </w:r>
          </w:p>
        </w:tc>
        <w:tc>
          <w:tcPr>
            <w:tcW w:w="942" w:type="dxa"/>
            <w:shd w:val="clear" w:color="auto" w:fill="FFFFFF"/>
            <w:noWrap/>
            <w:vAlign w:val="center"/>
          </w:tcPr>
          <w:p>
            <w:pPr>
              <w:widowControl/>
              <w:jc w:val="center"/>
              <w:rPr>
                <w:rFonts w:ascii="宋体" w:hAnsi="宋体" w:cs="宋体"/>
                <w:kern w:val="0"/>
                <w:sz w:val="20"/>
              </w:rPr>
            </w:pPr>
          </w:p>
        </w:tc>
        <w:tc>
          <w:tcPr>
            <w:tcW w:w="19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（二）外交支出</w:t>
            </w:r>
          </w:p>
        </w:tc>
        <w:tc>
          <w:tcPr>
            <w:tcW w:w="1175"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12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7" w:type="dxa"/>
            <w:shd w:val="clear" w:color="auto" w:fill="FFFFFF"/>
            <w:noWrap/>
            <w:vAlign w:val="center"/>
          </w:tcPr>
          <w:p>
            <w:pPr>
              <w:widowControl/>
              <w:jc w:val="left"/>
              <w:rPr>
                <w:rFonts w:ascii="宋体" w:hAnsi="宋体" w:cs="宋体"/>
                <w:kern w:val="0"/>
                <w:sz w:val="20"/>
              </w:rPr>
            </w:pPr>
          </w:p>
        </w:tc>
        <w:tc>
          <w:tcPr>
            <w:tcW w:w="942" w:type="dxa"/>
            <w:shd w:val="clear" w:color="auto" w:fill="FFFFFF"/>
            <w:noWrap/>
            <w:vAlign w:val="center"/>
          </w:tcPr>
          <w:p>
            <w:pPr>
              <w:widowControl/>
              <w:jc w:val="center"/>
              <w:rPr>
                <w:rFonts w:ascii="宋体" w:hAnsi="宋体" w:cs="宋体"/>
                <w:kern w:val="0"/>
                <w:sz w:val="20"/>
              </w:rPr>
            </w:pPr>
          </w:p>
        </w:tc>
        <w:tc>
          <w:tcPr>
            <w:tcW w:w="19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（三）国防支出</w:t>
            </w:r>
          </w:p>
        </w:tc>
        <w:tc>
          <w:tcPr>
            <w:tcW w:w="1175"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12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7" w:type="dxa"/>
            <w:shd w:val="clear" w:color="auto" w:fill="FFFFFF"/>
            <w:noWrap/>
            <w:vAlign w:val="center"/>
          </w:tcPr>
          <w:p>
            <w:pPr>
              <w:widowControl/>
              <w:jc w:val="left"/>
              <w:rPr>
                <w:rFonts w:ascii="宋体" w:hAnsi="宋体" w:cs="宋体"/>
                <w:kern w:val="0"/>
                <w:sz w:val="20"/>
              </w:rPr>
            </w:pPr>
          </w:p>
        </w:tc>
        <w:tc>
          <w:tcPr>
            <w:tcW w:w="942" w:type="dxa"/>
            <w:shd w:val="clear" w:color="auto" w:fill="FFFFFF"/>
            <w:noWrap/>
            <w:vAlign w:val="center"/>
          </w:tcPr>
          <w:p>
            <w:pPr>
              <w:widowControl/>
              <w:jc w:val="center"/>
              <w:rPr>
                <w:rFonts w:ascii="宋体" w:hAnsi="宋体" w:cs="宋体"/>
                <w:kern w:val="0"/>
                <w:sz w:val="20"/>
              </w:rPr>
            </w:pPr>
          </w:p>
        </w:tc>
        <w:tc>
          <w:tcPr>
            <w:tcW w:w="19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（四）公共安全支出</w:t>
            </w:r>
          </w:p>
        </w:tc>
        <w:tc>
          <w:tcPr>
            <w:tcW w:w="1175"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12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7" w:type="dxa"/>
            <w:shd w:val="clear" w:color="auto" w:fill="FFFFFF"/>
            <w:noWrap/>
            <w:vAlign w:val="center"/>
          </w:tcPr>
          <w:p>
            <w:pPr>
              <w:widowControl/>
              <w:jc w:val="left"/>
              <w:rPr>
                <w:rFonts w:ascii="宋体" w:hAnsi="宋体" w:cs="宋体"/>
                <w:kern w:val="0"/>
                <w:sz w:val="20"/>
              </w:rPr>
            </w:pPr>
          </w:p>
        </w:tc>
        <w:tc>
          <w:tcPr>
            <w:tcW w:w="942" w:type="dxa"/>
            <w:shd w:val="clear" w:color="auto" w:fill="FFFFFF"/>
            <w:noWrap/>
            <w:vAlign w:val="center"/>
          </w:tcPr>
          <w:p>
            <w:pPr>
              <w:widowControl/>
              <w:jc w:val="center"/>
              <w:rPr>
                <w:rFonts w:ascii="宋体" w:hAnsi="宋体" w:cs="宋体"/>
                <w:kern w:val="0"/>
                <w:sz w:val="20"/>
              </w:rPr>
            </w:pPr>
          </w:p>
        </w:tc>
        <w:tc>
          <w:tcPr>
            <w:tcW w:w="19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（五）教育支出</w:t>
            </w:r>
          </w:p>
        </w:tc>
        <w:tc>
          <w:tcPr>
            <w:tcW w:w="1175"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12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7" w:type="dxa"/>
            <w:shd w:val="clear" w:color="auto" w:fill="FFFFFF"/>
            <w:noWrap/>
            <w:vAlign w:val="center"/>
          </w:tcPr>
          <w:p>
            <w:pPr>
              <w:widowControl/>
              <w:jc w:val="left"/>
              <w:rPr>
                <w:rFonts w:ascii="宋体" w:hAnsi="宋体" w:cs="宋体"/>
                <w:kern w:val="0"/>
                <w:sz w:val="20"/>
              </w:rPr>
            </w:pPr>
          </w:p>
        </w:tc>
        <w:tc>
          <w:tcPr>
            <w:tcW w:w="942" w:type="dxa"/>
            <w:shd w:val="clear" w:color="auto" w:fill="FFFFFF"/>
            <w:noWrap/>
            <w:vAlign w:val="center"/>
          </w:tcPr>
          <w:p>
            <w:pPr>
              <w:widowControl/>
              <w:jc w:val="center"/>
              <w:rPr>
                <w:rFonts w:ascii="宋体" w:hAnsi="宋体" w:cs="宋体"/>
                <w:kern w:val="0"/>
                <w:sz w:val="20"/>
              </w:rPr>
            </w:pPr>
          </w:p>
        </w:tc>
        <w:tc>
          <w:tcPr>
            <w:tcW w:w="19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（六）科学技术支出</w:t>
            </w:r>
          </w:p>
        </w:tc>
        <w:tc>
          <w:tcPr>
            <w:tcW w:w="1175"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12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7" w:type="dxa"/>
            <w:shd w:val="clear" w:color="auto" w:fill="FFFFFF"/>
            <w:noWrap/>
            <w:vAlign w:val="center"/>
          </w:tcPr>
          <w:p>
            <w:pPr>
              <w:widowControl/>
              <w:jc w:val="left"/>
              <w:rPr>
                <w:rFonts w:ascii="宋体" w:hAnsi="宋体" w:cs="宋体"/>
                <w:kern w:val="0"/>
                <w:sz w:val="20"/>
              </w:rPr>
            </w:pPr>
          </w:p>
        </w:tc>
        <w:tc>
          <w:tcPr>
            <w:tcW w:w="942" w:type="dxa"/>
            <w:shd w:val="clear" w:color="auto" w:fill="FFFFFF"/>
            <w:noWrap/>
            <w:vAlign w:val="center"/>
          </w:tcPr>
          <w:p>
            <w:pPr>
              <w:widowControl/>
              <w:jc w:val="center"/>
              <w:rPr>
                <w:rFonts w:ascii="宋体" w:hAnsi="宋体" w:cs="宋体"/>
                <w:kern w:val="0"/>
                <w:sz w:val="20"/>
              </w:rPr>
            </w:pPr>
          </w:p>
        </w:tc>
        <w:tc>
          <w:tcPr>
            <w:tcW w:w="19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（七）文化旅游体育与传媒支出</w:t>
            </w:r>
          </w:p>
        </w:tc>
        <w:tc>
          <w:tcPr>
            <w:tcW w:w="117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126.00</w:t>
            </w:r>
          </w:p>
        </w:tc>
        <w:tc>
          <w:tcPr>
            <w:tcW w:w="127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126.00</w:t>
            </w:r>
          </w:p>
        </w:tc>
        <w:tc>
          <w:tcPr>
            <w:tcW w:w="112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7" w:type="dxa"/>
            <w:shd w:val="clear" w:color="auto" w:fill="FFFFFF"/>
            <w:noWrap/>
            <w:vAlign w:val="center"/>
          </w:tcPr>
          <w:p>
            <w:pPr>
              <w:widowControl/>
              <w:jc w:val="left"/>
              <w:rPr>
                <w:rFonts w:ascii="宋体" w:hAnsi="宋体" w:cs="宋体"/>
                <w:kern w:val="0"/>
                <w:sz w:val="20"/>
              </w:rPr>
            </w:pPr>
          </w:p>
        </w:tc>
        <w:tc>
          <w:tcPr>
            <w:tcW w:w="942" w:type="dxa"/>
            <w:shd w:val="clear" w:color="auto" w:fill="FFFFFF"/>
            <w:noWrap/>
            <w:vAlign w:val="center"/>
          </w:tcPr>
          <w:p>
            <w:pPr>
              <w:widowControl/>
              <w:jc w:val="center"/>
              <w:rPr>
                <w:rFonts w:ascii="宋体" w:hAnsi="宋体" w:cs="宋体"/>
                <w:kern w:val="0"/>
                <w:sz w:val="20"/>
              </w:rPr>
            </w:pPr>
          </w:p>
        </w:tc>
        <w:tc>
          <w:tcPr>
            <w:tcW w:w="19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（八）社会保障和就业支出</w:t>
            </w:r>
          </w:p>
        </w:tc>
        <w:tc>
          <w:tcPr>
            <w:tcW w:w="117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19.90</w:t>
            </w:r>
          </w:p>
        </w:tc>
        <w:tc>
          <w:tcPr>
            <w:tcW w:w="127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19.90</w:t>
            </w:r>
          </w:p>
        </w:tc>
        <w:tc>
          <w:tcPr>
            <w:tcW w:w="112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7" w:type="dxa"/>
            <w:shd w:val="clear" w:color="auto" w:fill="FFFFFF"/>
            <w:noWrap/>
            <w:vAlign w:val="center"/>
          </w:tcPr>
          <w:p>
            <w:pPr>
              <w:widowControl/>
              <w:jc w:val="left"/>
              <w:rPr>
                <w:rFonts w:ascii="宋体" w:hAnsi="宋体" w:cs="宋体"/>
                <w:kern w:val="0"/>
                <w:sz w:val="20"/>
              </w:rPr>
            </w:pPr>
          </w:p>
        </w:tc>
        <w:tc>
          <w:tcPr>
            <w:tcW w:w="942" w:type="dxa"/>
            <w:shd w:val="clear" w:color="auto" w:fill="FFFFFF"/>
            <w:noWrap/>
            <w:vAlign w:val="center"/>
          </w:tcPr>
          <w:p>
            <w:pPr>
              <w:widowControl/>
              <w:jc w:val="center"/>
              <w:rPr>
                <w:rFonts w:ascii="宋体" w:hAnsi="宋体" w:cs="宋体"/>
                <w:kern w:val="0"/>
                <w:sz w:val="20"/>
              </w:rPr>
            </w:pPr>
          </w:p>
        </w:tc>
        <w:tc>
          <w:tcPr>
            <w:tcW w:w="19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（九）社会保险基金支出</w:t>
            </w:r>
          </w:p>
        </w:tc>
        <w:tc>
          <w:tcPr>
            <w:tcW w:w="1175"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12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7" w:type="dxa"/>
            <w:shd w:val="clear" w:color="auto" w:fill="FFFFFF"/>
            <w:noWrap/>
            <w:vAlign w:val="center"/>
          </w:tcPr>
          <w:p>
            <w:pPr>
              <w:widowControl/>
              <w:jc w:val="left"/>
              <w:rPr>
                <w:rFonts w:ascii="宋体" w:hAnsi="宋体" w:cs="宋体"/>
                <w:kern w:val="0"/>
                <w:sz w:val="20"/>
              </w:rPr>
            </w:pPr>
          </w:p>
        </w:tc>
        <w:tc>
          <w:tcPr>
            <w:tcW w:w="942" w:type="dxa"/>
            <w:shd w:val="clear" w:color="auto" w:fill="FFFFFF"/>
            <w:noWrap/>
            <w:vAlign w:val="center"/>
          </w:tcPr>
          <w:p>
            <w:pPr>
              <w:widowControl/>
              <w:jc w:val="center"/>
              <w:rPr>
                <w:rFonts w:ascii="宋体" w:hAnsi="宋体" w:cs="宋体"/>
                <w:kern w:val="0"/>
                <w:sz w:val="20"/>
              </w:rPr>
            </w:pPr>
          </w:p>
        </w:tc>
        <w:tc>
          <w:tcPr>
            <w:tcW w:w="19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（十）卫生健康支出</w:t>
            </w:r>
          </w:p>
        </w:tc>
        <w:tc>
          <w:tcPr>
            <w:tcW w:w="117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11.20</w:t>
            </w:r>
          </w:p>
        </w:tc>
        <w:tc>
          <w:tcPr>
            <w:tcW w:w="127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11.20</w:t>
            </w:r>
          </w:p>
        </w:tc>
        <w:tc>
          <w:tcPr>
            <w:tcW w:w="112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7" w:type="dxa"/>
            <w:shd w:val="clear" w:color="auto" w:fill="FFFFFF"/>
            <w:noWrap/>
            <w:vAlign w:val="center"/>
          </w:tcPr>
          <w:p>
            <w:pPr>
              <w:widowControl/>
              <w:jc w:val="left"/>
              <w:rPr>
                <w:rFonts w:ascii="宋体" w:hAnsi="宋体" w:cs="宋体"/>
                <w:kern w:val="0"/>
                <w:sz w:val="20"/>
              </w:rPr>
            </w:pPr>
          </w:p>
        </w:tc>
        <w:tc>
          <w:tcPr>
            <w:tcW w:w="942" w:type="dxa"/>
            <w:shd w:val="clear" w:color="auto" w:fill="FFFFFF"/>
            <w:noWrap/>
            <w:vAlign w:val="center"/>
          </w:tcPr>
          <w:p>
            <w:pPr>
              <w:widowControl/>
              <w:jc w:val="center"/>
              <w:rPr>
                <w:rFonts w:ascii="宋体" w:hAnsi="宋体" w:cs="宋体"/>
                <w:kern w:val="0"/>
                <w:sz w:val="20"/>
              </w:rPr>
            </w:pPr>
          </w:p>
        </w:tc>
        <w:tc>
          <w:tcPr>
            <w:tcW w:w="19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（十一）节能环保支出</w:t>
            </w:r>
          </w:p>
        </w:tc>
        <w:tc>
          <w:tcPr>
            <w:tcW w:w="1175"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12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7" w:type="dxa"/>
            <w:shd w:val="clear" w:color="auto" w:fill="FFFFFF"/>
            <w:noWrap/>
            <w:vAlign w:val="center"/>
          </w:tcPr>
          <w:p>
            <w:pPr>
              <w:widowControl/>
              <w:jc w:val="left"/>
              <w:rPr>
                <w:rFonts w:ascii="宋体" w:hAnsi="宋体" w:cs="宋体"/>
                <w:kern w:val="0"/>
                <w:sz w:val="20"/>
              </w:rPr>
            </w:pPr>
          </w:p>
        </w:tc>
        <w:tc>
          <w:tcPr>
            <w:tcW w:w="942" w:type="dxa"/>
            <w:shd w:val="clear" w:color="auto" w:fill="FFFFFF"/>
            <w:noWrap/>
            <w:vAlign w:val="center"/>
          </w:tcPr>
          <w:p>
            <w:pPr>
              <w:widowControl/>
              <w:jc w:val="center"/>
              <w:rPr>
                <w:rFonts w:ascii="宋体" w:hAnsi="宋体" w:cs="宋体"/>
                <w:kern w:val="0"/>
                <w:sz w:val="20"/>
              </w:rPr>
            </w:pPr>
          </w:p>
        </w:tc>
        <w:tc>
          <w:tcPr>
            <w:tcW w:w="19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（十二）城乡社区支出</w:t>
            </w:r>
          </w:p>
        </w:tc>
        <w:tc>
          <w:tcPr>
            <w:tcW w:w="1175"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12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7" w:type="dxa"/>
            <w:shd w:val="clear" w:color="auto" w:fill="FFFFFF"/>
            <w:noWrap/>
            <w:vAlign w:val="center"/>
          </w:tcPr>
          <w:p>
            <w:pPr>
              <w:widowControl/>
              <w:jc w:val="left"/>
              <w:rPr>
                <w:rFonts w:ascii="宋体" w:hAnsi="宋体" w:cs="宋体"/>
                <w:kern w:val="0"/>
                <w:sz w:val="20"/>
              </w:rPr>
            </w:pPr>
          </w:p>
        </w:tc>
        <w:tc>
          <w:tcPr>
            <w:tcW w:w="942" w:type="dxa"/>
            <w:shd w:val="clear" w:color="auto" w:fill="FFFFFF"/>
            <w:noWrap/>
            <w:vAlign w:val="center"/>
          </w:tcPr>
          <w:p>
            <w:pPr>
              <w:widowControl/>
              <w:jc w:val="center"/>
              <w:rPr>
                <w:rFonts w:ascii="宋体" w:hAnsi="宋体" w:cs="宋体"/>
                <w:kern w:val="0"/>
                <w:sz w:val="20"/>
              </w:rPr>
            </w:pPr>
          </w:p>
        </w:tc>
        <w:tc>
          <w:tcPr>
            <w:tcW w:w="19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（十三）农林水支出</w:t>
            </w:r>
          </w:p>
        </w:tc>
        <w:tc>
          <w:tcPr>
            <w:tcW w:w="1175"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12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7" w:type="dxa"/>
            <w:shd w:val="clear" w:color="auto" w:fill="FFFFFF"/>
            <w:noWrap/>
            <w:vAlign w:val="center"/>
          </w:tcPr>
          <w:p>
            <w:pPr>
              <w:widowControl/>
              <w:jc w:val="left"/>
              <w:rPr>
                <w:rFonts w:ascii="宋体" w:hAnsi="宋体" w:cs="宋体"/>
                <w:kern w:val="0"/>
                <w:sz w:val="20"/>
              </w:rPr>
            </w:pPr>
          </w:p>
        </w:tc>
        <w:tc>
          <w:tcPr>
            <w:tcW w:w="942" w:type="dxa"/>
            <w:shd w:val="clear" w:color="auto" w:fill="FFFFFF"/>
            <w:noWrap/>
            <w:vAlign w:val="center"/>
          </w:tcPr>
          <w:p>
            <w:pPr>
              <w:widowControl/>
              <w:jc w:val="center"/>
              <w:rPr>
                <w:rFonts w:ascii="宋体" w:hAnsi="宋体" w:cs="宋体"/>
                <w:kern w:val="0"/>
                <w:sz w:val="20"/>
              </w:rPr>
            </w:pPr>
          </w:p>
        </w:tc>
        <w:tc>
          <w:tcPr>
            <w:tcW w:w="19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（十四）交通运输支出</w:t>
            </w:r>
          </w:p>
        </w:tc>
        <w:tc>
          <w:tcPr>
            <w:tcW w:w="1175"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12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7" w:type="dxa"/>
            <w:shd w:val="clear" w:color="auto" w:fill="FFFFFF"/>
            <w:noWrap/>
            <w:vAlign w:val="center"/>
          </w:tcPr>
          <w:p>
            <w:pPr>
              <w:widowControl/>
              <w:jc w:val="left"/>
              <w:rPr>
                <w:rFonts w:ascii="宋体" w:hAnsi="宋体" w:cs="宋体"/>
                <w:kern w:val="0"/>
                <w:sz w:val="20"/>
              </w:rPr>
            </w:pPr>
          </w:p>
        </w:tc>
        <w:tc>
          <w:tcPr>
            <w:tcW w:w="942" w:type="dxa"/>
            <w:shd w:val="clear" w:color="auto" w:fill="FFFFFF"/>
            <w:noWrap/>
            <w:vAlign w:val="center"/>
          </w:tcPr>
          <w:p>
            <w:pPr>
              <w:widowControl/>
              <w:jc w:val="center"/>
              <w:rPr>
                <w:rFonts w:ascii="宋体" w:hAnsi="宋体" w:cs="宋体"/>
                <w:kern w:val="0"/>
                <w:sz w:val="20"/>
              </w:rPr>
            </w:pPr>
          </w:p>
        </w:tc>
        <w:tc>
          <w:tcPr>
            <w:tcW w:w="19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（十五）资源勘探工业信息等支出</w:t>
            </w:r>
          </w:p>
        </w:tc>
        <w:tc>
          <w:tcPr>
            <w:tcW w:w="1175"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12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7" w:type="dxa"/>
            <w:shd w:val="clear" w:color="auto" w:fill="FFFFFF"/>
            <w:noWrap/>
            <w:vAlign w:val="center"/>
          </w:tcPr>
          <w:p>
            <w:pPr>
              <w:widowControl/>
              <w:jc w:val="left"/>
              <w:rPr>
                <w:rFonts w:ascii="宋体" w:hAnsi="宋体" w:cs="宋体"/>
                <w:kern w:val="0"/>
                <w:sz w:val="20"/>
              </w:rPr>
            </w:pPr>
          </w:p>
        </w:tc>
        <w:tc>
          <w:tcPr>
            <w:tcW w:w="942" w:type="dxa"/>
            <w:shd w:val="clear" w:color="auto" w:fill="FFFFFF"/>
            <w:noWrap/>
            <w:vAlign w:val="center"/>
          </w:tcPr>
          <w:p>
            <w:pPr>
              <w:widowControl/>
              <w:jc w:val="center"/>
              <w:rPr>
                <w:rFonts w:ascii="宋体" w:hAnsi="宋体" w:cs="宋体"/>
                <w:kern w:val="0"/>
                <w:sz w:val="20"/>
              </w:rPr>
            </w:pPr>
          </w:p>
        </w:tc>
        <w:tc>
          <w:tcPr>
            <w:tcW w:w="19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（十六）商业服务业等支出</w:t>
            </w:r>
          </w:p>
        </w:tc>
        <w:tc>
          <w:tcPr>
            <w:tcW w:w="1175"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12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7" w:type="dxa"/>
            <w:shd w:val="clear" w:color="auto" w:fill="FFFFFF"/>
            <w:noWrap/>
            <w:vAlign w:val="center"/>
          </w:tcPr>
          <w:p>
            <w:pPr>
              <w:widowControl/>
              <w:jc w:val="left"/>
              <w:rPr>
                <w:rFonts w:ascii="宋体" w:hAnsi="宋体" w:cs="宋体"/>
                <w:kern w:val="0"/>
                <w:sz w:val="20"/>
              </w:rPr>
            </w:pPr>
          </w:p>
        </w:tc>
        <w:tc>
          <w:tcPr>
            <w:tcW w:w="942" w:type="dxa"/>
            <w:shd w:val="clear" w:color="auto" w:fill="FFFFFF"/>
            <w:noWrap/>
            <w:vAlign w:val="center"/>
          </w:tcPr>
          <w:p>
            <w:pPr>
              <w:widowControl/>
              <w:jc w:val="center"/>
              <w:rPr>
                <w:rFonts w:ascii="宋体" w:hAnsi="宋体" w:cs="宋体"/>
                <w:kern w:val="0"/>
                <w:sz w:val="20"/>
              </w:rPr>
            </w:pPr>
          </w:p>
        </w:tc>
        <w:tc>
          <w:tcPr>
            <w:tcW w:w="19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（十七）金融支出</w:t>
            </w:r>
          </w:p>
        </w:tc>
        <w:tc>
          <w:tcPr>
            <w:tcW w:w="1175"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12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7" w:type="dxa"/>
            <w:shd w:val="clear" w:color="auto" w:fill="FFFFFF"/>
            <w:noWrap/>
            <w:vAlign w:val="center"/>
          </w:tcPr>
          <w:p>
            <w:pPr>
              <w:widowControl/>
              <w:jc w:val="left"/>
              <w:rPr>
                <w:rFonts w:ascii="宋体" w:hAnsi="宋体" w:cs="宋体"/>
                <w:kern w:val="0"/>
                <w:sz w:val="20"/>
              </w:rPr>
            </w:pPr>
          </w:p>
        </w:tc>
        <w:tc>
          <w:tcPr>
            <w:tcW w:w="942" w:type="dxa"/>
            <w:shd w:val="clear" w:color="auto" w:fill="FFFFFF"/>
            <w:noWrap/>
            <w:vAlign w:val="center"/>
          </w:tcPr>
          <w:p>
            <w:pPr>
              <w:widowControl/>
              <w:jc w:val="center"/>
              <w:rPr>
                <w:rFonts w:ascii="宋体" w:hAnsi="宋体" w:cs="宋体"/>
                <w:kern w:val="0"/>
                <w:sz w:val="20"/>
              </w:rPr>
            </w:pPr>
          </w:p>
        </w:tc>
        <w:tc>
          <w:tcPr>
            <w:tcW w:w="19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（十八）援助其他地区支出</w:t>
            </w:r>
          </w:p>
        </w:tc>
        <w:tc>
          <w:tcPr>
            <w:tcW w:w="1175"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12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7" w:type="dxa"/>
            <w:shd w:val="clear" w:color="auto" w:fill="FFFFFF"/>
            <w:noWrap/>
            <w:vAlign w:val="center"/>
          </w:tcPr>
          <w:p>
            <w:pPr>
              <w:widowControl/>
              <w:jc w:val="left"/>
              <w:rPr>
                <w:rFonts w:ascii="宋体" w:hAnsi="宋体" w:cs="宋体"/>
                <w:kern w:val="0"/>
                <w:sz w:val="20"/>
              </w:rPr>
            </w:pPr>
          </w:p>
        </w:tc>
        <w:tc>
          <w:tcPr>
            <w:tcW w:w="942" w:type="dxa"/>
            <w:shd w:val="clear" w:color="auto" w:fill="FFFFFF"/>
            <w:noWrap/>
            <w:vAlign w:val="center"/>
          </w:tcPr>
          <w:p>
            <w:pPr>
              <w:widowControl/>
              <w:jc w:val="center"/>
              <w:rPr>
                <w:rFonts w:ascii="宋体" w:hAnsi="宋体" w:cs="宋体"/>
                <w:kern w:val="0"/>
                <w:sz w:val="20"/>
              </w:rPr>
            </w:pPr>
          </w:p>
        </w:tc>
        <w:tc>
          <w:tcPr>
            <w:tcW w:w="19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（十九）自然资源海洋气象等支出</w:t>
            </w:r>
          </w:p>
        </w:tc>
        <w:tc>
          <w:tcPr>
            <w:tcW w:w="1175"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12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7" w:type="dxa"/>
            <w:shd w:val="clear" w:color="auto" w:fill="FFFFFF"/>
            <w:noWrap/>
            <w:vAlign w:val="center"/>
          </w:tcPr>
          <w:p>
            <w:pPr>
              <w:widowControl/>
              <w:jc w:val="left"/>
              <w:rPr>
                <w:rFonts w:ascii="宋体" w:hAnsi="宋体" w:cs="宋体"/>
                <w:kern w:val="0"/>
                <w:sz w:val="20"/>
              </w:rPr>
            </w:pPr>
          </w:p>
        </w:tc>
        <w:tc>
          <w:tcPr>
            <w:tcW w:w="942" w:type="dxa"/>
            <w:shd w:val="clear" w:color="auto" w:fill="FFFFFF"/>
            <w:noWrap/>
            <w:vAlign w:val="center"/>
          </w:tcPr>
          <w:p>
            <w:pPr>
              <w:widowControl/>
              <w:jc w:val="center"/>
              <w:rPr>
                <w:rFonts w:ascii="宋体" w:hAnsi="宋体" w:cs="宋体"/>
                <w:kern w:val="0"/>
                <w:sz w:val="20"/>
              </w:rPr>
            </w:pPr>
          </w:p>
        </w:tc>
        <w:tc>
          <w:tcPr>
            <w:tcW w:w="19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（二十）住房保障支出</w:t>
            </w:r>
          </w:p>
        </w:tc>
        <w:tc>
          <w:tcPr>
            <w:tcW w:w="117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12.65</w:t>
            </w:r>
          </w:p>
        </w:tc>
        <w:tc>
          <w:tcPr>
            <w:tcW w:w="127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12.65</w:t>
            </w:r>
          </w:p>
        </w:tc>
        <w:tc>
          <w:tcPr>
            <w:tcW w:w="112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7" w:type="dxa"/>
            <w:shd w:val="clear" w:color="auto" w:fill="FFFFFF"/>
            <w:noWrap/>
            <w:vAlign w:val="center"/>
          </w:tcPr>
          <w:p>
            <w:pPr>
              <w:widowControl/>
              <w:jc w:val="left"/>
              <w:rPr>
                <w:rFonts w:ascii="宋体" w:hAnsi="宋体" w:cs="宋体"/>
                <w:kern w:val="0"/>
                <w:sz w:val="20"/>
              </w:rPr>
            </w:pPr>
          </w:p>
        </w:tc>
        <w:tc>
          <w:tcPr>
            <w:tcW w:w="942" w:type="dxa"/>
            <w:shd w:val="clear" w:color="auto" w:fill="FFFFFF"/>
            <w:noWrap/>
            <w:vAlign w:val="center"/>
          </w:tcPr>
          <w:p>
            <w:pPr>
              <w:widowControl/>
              <w:jc w:val="center"/>
              <w:rPr>
                <w:rFonts w:ascii="宋体" w:hAnsi="宋体" w:cs="宋体"/>
                <w:kern w:val="0"/>
                <w:sz w:val="20"/>
              </w:rPr>
            </w:pPr>
          </w:p>
        </w:tc>
        <w:tc>
          <w:tcPr>
            <w:tcW w:w="19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（二十一）粮油物资储备支出</w:t>
            </w:r>
          </w:p>
        </w:tc>
        <w:tc>
          <w:tcPr>
            <w:tcW w:w="1175"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12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7" w:type="dxa"/>
            <w:shd w:val="clear" w:color="auto" w:fill="FFFFFF"/>
            <w:noWrap/>
            <w:vAlign w:val="center"/>
          </w:tcPr>
          <w:p>
            <w:pPr>
              <w:widowControl/>
              <w:jc w:val="left"/>
              <w:rPr>
                <w:rFonts w:ascii="宋体" w:hAnsi="宋体" w:cs="宋体"/>
                <w:kern w:val="0"/>
                <w:sz w:val="20"/>
              </w:rPr>
            </w:pPr>
          </w:p>
        </w:tc>
        <w:tc>
          <w:tcPr>
            <w:tcW w:w="942" w:type="dxa"/>
            <w:shd w:val="clear" w:color="auto" w:fill="FFFFFF"/>
            <w:noWrap/>
            <w:vAlign w:val="center"/>
          </w:tcPr>
          <w:p>
            <w:pPr>
              <w:widowControl/>
              <w:jc w:val="center"/>
              <w:rPr>
                <w:rFonts w:ascii="宋体" w:hAnsi="宋体" w:cs="宋体"/>
                <w:kern w:val="0"/>
                <w:sz w:val="20"/>
              </w:rPr>
            </w:pPr>
          </w:p>
        </w:tc>
        <w:tc>
          <w:tcPr>
            <w:tcW w:w="19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（二十二）国有资本经营预算支出</w:t>
            </w:r>
          </w:p>
        </w:tc>
        <w:tc>
          <w:tcPr>
            <w:tcW w:w="1175"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12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7" w:type="dxa"/>
            <w:shd w:val="clear" w:color="auto" w:fill="FFFFFF"/>
            <w:noWrap/>
            <w:vAlign w:val="center"/>
          </w:tcPr>
          <w:p>
            <w:pPr>
              <w:widowControl/>
              <w:jc w:val="left"/>
              <w:rPr>
                <w:rFonts w:ascii="宋体" w:hAnsi="宋体" w:cs="宋体"/>
                <w:kern w:val="0"/>
                <w:sz w:val="20"/>
              </w:rPr>
            </w:pPr>
          </w:p>
        </w:tc>
        <w:tc>
          <w:tcPr>
            <w:tcW w:w="942" w:type="dxa"/>
            <w:shd w:val="clear" w:color="auto" w:fill="FFFFFF"/>
            <w:noWrap/>
            <w:vAlign w:val="center"/>
          </w:tcPr>
          <w:p>
            <w:pPr>
              <w:widowControl/>
              <w:jc w:val="center"/>
              <w:rPr>
                <w:rFonts w:ascii="宋体" w:hAnsi="宋体" w:cs="宋体"/>
                <w:kern w:val="0"/>
                <w:sz w:val="20"/>
              </w:rPr>
            </w:pPr>
          </w:p>
        </w:tc>
        <w:tc>
          <w:tcPr>
            <w:tcW w:w="19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（二十三）灾害防治及应急管理支出</w:t>
            </w:r>
          </w:p>
        </w:tc>
        <w:tc>
          <w:tcPr>
            <w:tcW w:w="1175"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12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7" w:type="dxa"/>
            <w:shd w:val="clear" w:color="auto" w:fill="FFFFFF"/>
            <w:noWrap/>
            <w:vAlign w:val="center"/>
          </w:tcPr>
          <w:p>
            <w:pPr>
              <w:widowControl/>
              <w:jc w:val="left"/>
              <w:rPr>
                <w:rFonts w:ascii="宋体" w:hAnsi="宋体" w:cs="宋体"/>
                <w:kern w:val="0"/>
                <w:sz w:val="20"/>
              </w:rPr>
            </w:pPr>
          </w:p>
        </w:tc>
        <w:tc>
          <w:tcPr>
            <w:tcW w:w="942" w:type="dxa"/>
            <w:shd w:val="clear" w:color="auto" w:fill="FFFFFF"/>
            <w:noWrap/>
            <w:vAlign w:val="center"/>
          </w:tcPr>
          <w:p>
            <w:pPr>
              <w:widowControl/>
              <w:jc w:val="center"/>
              <w:rPr>
                <w:rFonts w:ascii="宋体" w:hAnsi="宋体" w:cs="宋体"/>
                <w:kern w:val="0"/>
                <w:sz w:val="20"/>
              </w:rPr>
            </w:pPr>
          </w:p>
        </w:tc>
        <w:tc>
          <w:tcPr>
            <w:tcW w:w="19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（二十四）预备费</w:t>
            </w:r>
          </w:p>
        </w:tc>
        <w:tc>
          <w:tcPr>
            <w:tcW w:w="1175"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12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7" w:type="dxa"/>
            <w:shd w:val="clear" w:color="auto" w:fill="FFFFFF"/>
            <w:noWrap/>
            <w:vAlign w:val="center"/>
          </w:tcPr>
          <w:p>
            <w:pPr>
              <w:widowControl/>
              <w:jc w:val="left"/>
              <w:rPr>
                <w:rFonts w:ascii="宋体" w:hAnsi="宋体" w:cs="宋体"/>
                <w:kern w:val="0"/>
                <w:sz w:val="20"/>
              </w:rPr>
            </w:pPr>
          </w:p>
        </w:tc>
        <w:tc>
          <w:tcPr>
            <w:tcW w:w="942" w:type="dxa"/>
            <w:shd w:val="clear" w:color="auto" w:fill="FFFFFF"/>
            <w:noWrap/>
            <w:vAlign w:val="center"/>
          </w:tcPr>
          <w:p>
            <w:pPr>
              <w:widowControl/>
              <w:jc w:val="center"/>
              <w:rPr>
                <w:rFonts w:ascii="宋体" w:hAnsi="宋体" w:cs="宋体"/>
                <w:kern w:val="0"/>
                <w:sz w:val="20"/>
              </w:rPr>
            </w:pPr>
          </w:p>
        </w:tc>
        <w:tc>
          <w:tcPr>
            <w:tcW w:w="19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（二十五）其他支出</w:t>
            </w:r>
          </w:p>
        </w:tc>
        <w:tc>
          <w:tcPr>
            <w:tcW w:w="117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3000.00</w:t>
            </w:r>
          </w:p>
        </w:tc>
        <w:tc>
          <w:tcPr>
            <w:tcW w:w="1275" w:type="dxa"/>
            <w:shd w:val="clear" w:color="auto" w:fill="FFFFFF"/>
            <w:noWrap/>
            <w:vAlign w:val="center"/>
          </w:tcPr>
          <w:p>
            <w:pPr>
              <w:widowControl/>
              <w:jc w:val="center"/>
              <w:rPr>
                <w:rFonts w:ascii="宋体" w:hAnsi="宋体" w:cs="宋体"/>
                <w:kern w:val="0"/>
                <w:sz w:val="20"/>
              </w:rPr>
            </w:pPr>
          </w:p>
        </w:tc>
        <w:tc>
          <w:tcPr>
            <w:tcW w:w="1129"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7" w:type="dxa"/>
            <w:shd w:val="clear" w:color="auto" w:fill="FFFFFF"/>
            <w:noWrap/>
            <w:vAlign w:val="center"/>
          </w:tcPr>
          <w:p>
            <w:pPr>
              <w:widowControl/>
              <w:jc w:val="left"/>
              <w:rPr>
                <w:rFonts w:ascii="宋体" w:hAnsi="宋体" w:cs="宋体"/>
                <w:kern w:val="0"/>
                <w:sz w:val="20"/>
              </w:rPr>
            </w:pPr>
          </w:p>
        </w:tc>
        <w:tc>
          <w:tcPr>
            <w:tcW w:w="942" w:type="dxa"/>
            <w:shd w:val="clear" w:color="auto" w:fill="FFFFFF"/>
            <w:noWrap/>
            <w:vAlign w:val="center"/>
          </w:tcPr>
          <w:p>
            <w:pPr>
              <w:widowControl/>
              <w:jc w:val="center"/>
              <w:rPr>
                <w:rFonts w:ascii="宋体" w:hAnsi="宋体" w:cs="宋体"/>
                <w:kern w:val="0"/>
                <w:sz w:val="20"/>
              </w:rPr>
            </w:pPr>
          </w:p>
        </w:tc>
        <w:tc>
          <w:tcPr>
            <w:tcW w:w="19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（二十六）转移性支出</w:t>
            </w:r>
          </w:p>
        </w:tc>
        <w:tc>
          <w:tcPr>
            <w:tcW w:w="1175"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12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7" w:type="dxa"/>
            <w:shd w:val="clear" w:color="auto" w:fill="FFFFFF"/>
            <w:noWrap/>
            <w:vAlign w:val="center"/>
          </w:tcPr>
          <w:p>
            <w:pPr>
              <w:widowControl/>
              <w:jc w:val="left"/>
              <w:rPr>
                <w:rFonts w:ascii="宋体" w:hAnsi="宋体" w:cs="宋体"/>
                <w:kern w:val="0"/>
                <w:sz w:val="20"/>
              </w:rPr>
            </w:pPr>
          </w:p>
        </w:tc>
        <w:tc>
          <w:tcPr>
            <w:tcW w:w="942" w:type="dxa"/>
            <w:shd w:val="clear" w:color="auto" w:fill="FFFFFF"/>
            <w:noWrap/>
            <w:vAlign w:val="center"/>
          </w:tcPr>
          <w:p>
            <w:pPr>
              <w:widowControl/>
              <w:jc w:val="center"/>
              <w:rPr>
                <w:rFonts w:ascii="宋体" w:hAnsi="宋体" w:cs="宋体"/>
                <w:kern w:val="0"/>
                <w:sz w:val="20"/>
              </w:rPr>
            </w:pPr>
          </w:p>
        </w:tc>
        <w:tc>
          <w:tcPr>
            <w:tcW w:w="19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（二十七）债务还本支出</w:t>
            </w:r>
          </w:p>
        </w:tc>
        <w:tc>
          <w:tcPr>
            <w:tcW w:w="1175"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12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7" w:type="dxa"/>
            <w:shd w:val="clear" w:color="auto" w:fill="FFFFFF"/>
            <w:noWrap/>
            <w:vAlign w:val="center"/>
          </w:tcPr>
          <w:p>
            <w:pPr>
              <w:widowControl/>
              <w:jc w:val="left"/>
              <w:rPr>
                <w:rFonts w:ascii="宋体" w:hAnsi="宋体" w:cs="宋体"/>
                <w:kern w:val="0"/>
                <w:sz w:val="20"/>
              </w:rPr>
            </w:pPr>
          </w:p>
        </w:tc>
        <w:tc>
          <w:tcPr>
            <w:tcW w:w="942" w:type="dxa"/>
            <w:shd w:val="clear" w:color="auto" w:fill="FFFFFF"/>
            <w:noWrap/>
            <w:vAlign w:val="center"/>
          </w:tcPr>
          <w:p>
            <w:pPr>
              <w:widowControl/>
              <w:jc w:val="center"/>
              <w:rPr>
                <w:rFonts w:ascii="宋体" w:hAnsi="宋体" w:cs="宋体"/>
                <w:kern w:val="0"/>
                <w:sz w:val="20"/>
              </w:rPr>
            </w:pPr>
          </w:p>
        </w:tc>
        <w:tc>
          <w:tcPr>
            <w:tcW w:w="19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（二十八）债务付息支出</w:t>
            </w:r>
          </w:p>
        </w:tc>
        <w:tc>
          <w:tcPr>
            <w:tcW w:w="1175"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12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7" w:type="dxa"/>
            <w:shd w:val="clear" w:color="auto" w:fill="FFFFFF"/>
            <w:noWrap/>
            <w:vAlign w:val="center"/>
          </w:tcPr>
          <w:p>
            <w:pPr>
              <w:widowControl/>
              <w:jc w:val="left"/>
              <w:rPr>
                <w:rFonts w:ascii="宋体" w:hAnsi="宋体" w:cs="宋体"/>
                <w:kern w:val="0"/>
                <w:sz w:val="20"/>
              </w:rPr>
            </w:pPr>
          </w:p>
        </w:tc>
        <w:tc>
          <w:tcPr>
            <w:tcW w:w="942" w:type="dxa"/>
            <w:shd w:val="clear" w:color="auto" w:fill="FFFFFF"/>
            <w:noWrap/>
            <w:vAlign w:val="center"/>
          </w:tcPr>
          <w:p>
            <w:pPr>
              <w:widowControl/>
              <w:jc w:val="center"/>
              <w:rPr>
                <w:rFonts w:ascii="宋体" w:hAnsi="宋体" w:cs="宋体"/>
                <w:kern w:val="0"/>
                <w:sz w:val="20"/>
              </w:rPr>
            </w:pPr>
          </w:p>
        </w:tc>
        <w:tc>
          <w:tcPr>
            <w:tcW w:w="19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（二十九）债务发行费用支出</w:t>
            </w:r>
          </w:p>
        </w:tc>
        <w:tc>
          <w:tcPr>
            <w:tcW w:w="1175"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12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7" w:type="dxa"/>
            <w:shd w:val="clear" w:color="auto" w:fill="FFFFFF"/>
            <w:noWrap/>
            <w:vAlign w:val="center"/>
          </w:tcPr>
          <w:p>
            <w:pPr>
              <w:widowControl/>
              <w:jc w:val="left"/>
              <w:rPr>
                <w:rFonts w:ascii="宋体" w:hAnsi="宋体" w:cs="宋体"/>
                <w:kern w:val="0"/>
                <w:sz w:val="20"/>
              </w:rPr>
            </w:pPr>
          </w:p>
        </w:tc>
        <w:tc>
          <w:tcPr>
            <w:tcW w:w="942" w:type="dxa"/>
            <w:shd w:val="clear" w:color="auto" w:fill="FFFFFF"/>
            <w:noWrap/>
            <w:vAlign w:val="center"/>
          </w:tcPr>
          <w:p>
            <w:pPr>
              <w:widowControl/>
              <w:jc w:val="center"/>
              <w:rPr>
                <w:rFonts w:ascii="宋体" w:hAnsi="宋体" w:cs="宋体"/>
                <w:kern w:val="0"/>
                <w:sz w:val="20"/>
              </w:rPr>
            </w:pPr>
          </w:p>
        </w:tc>
        <w:tc>
          <w:tcPr>
            <w:tcW w:w="19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（三十）抗疫特别国债安排的支出</w:t>
            </w:r>
          </w:p>
        </w:tc>
        <w:tc>
          <w:tcPr>
            <w:tcW w:w="1175"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12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7" w:type="dxa"/>
            <w:shd w:val="clear" w:color="auto" w:fill="FFFFFF"/>
            <w:noWrap/>
            <w:vAlign w:val="center"/>
          </w:tcPr>
          <w:p>
            <w:pPr>
              <w:widowControl/>
              <w:jc w:val="left"/>
              <w:rPr>
                <w:rFonts w:ascii="宋体" w:hAnsi="宋体" w:cs="宋体"/>
                <w:kern w:val="0"/>
                <w:sz w:val="20"/>
              </w:rPr>
            </w:pPr>
          </w:p>
        </w:tc>
        <w:tc>
          <w:tcPr>
            <w:tcW w:w="942" w:type="dxa"/>
            <w:shd w:val="clear" w:color="auto" w:fill="FFFFFF"/>
            <w:noWrap/>
            <w:vAlign w:val="center"/>
          </w:tcPr>
          <w:p>
            <w:pPr>
              <w:widowControl/>
              <w:jc w:val="center"/>
              <w:rPr>
                <w:rFonts w:ascii="宋体" w:hAnsi="宋体" w:cs="宋体"/>
                <w:kern w:val="0"/>
                <w:sz w:val="20"/>
              </w:rPr>
            </w:pPr>
          </w:p>
        </w:tc>
        <w:tc>
          <w:tcPr>
            <w:tcW w:w="19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（三十一）往来性支出</w:t>
            </w:r>
          </w:p>
        </w:tc>
        <w:tc>
          <w:tcPr>
            <w:tcW w:w="1175"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12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二、上年结转</w:t>
            </w:r>
          </w:p>
        </w:tc>
        <w:tc>
          <w:tcPr>
            <w:tcW w:w="942"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3000.00</w:t>
            </w:r>
          </w:p>
        </w:tc>
        <w:tc>
          <w:tcPr>
            <w:tcW w:w="19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二、结转下年</w:t>
            </w:r>
          </w:p>
        </w:tc>
        <w:tc>
          <w:tcPr>
            <w:tcW w:w="1175"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12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（一）一般公共预算拨款</w:t>
            </w:r>
          </w:p>
        </w:tc>
        <w:tc>
          <w:tcPr>
            <w:tcW w:w="942" w:type="dxa"/>
            <w:shd w:val="clear" w:color="auto" w:fill="FFFFFF"/>
            <w:noWrap/>
            <w:vAlign w:val="center"/>
          </w:tcPr>
          <w:p>
            <w:pPr>
              <w:widowControl/>
              <w:jc w:val="center"/>
              <w:rPr>
                <w:rFonts w:ascii="宋体" w:hAnsi="宋体" w:cs="宋体"/>
                <w:kern w:val="0"/>
                <w:sz w:val="20"/>
              </w:rPr>
            </w:pPr>
          </w:p>
        </w:tc>
        <w:tc>
          <w:tcPr>
            <w:tcW w:w="1900" w:type="dxa"/>
            <w:shd w:val="clear" w:color="auto" w:fill="FFFFFF"/>
            <w:noWrap/>
            <w:vAlign w:val="center"/>
          </w:tcPr>
          <w:p>
            <w:pPr>
              <w:widowControl/>
              <w:jc w:val="left"/>
              <w:rPr>
                <w:rFonts w:ascii="宋体" w:hAnsi="宋体" w:cs="宋体"/>
                <w:kern w:val="0"/>
                <w:sz w:val="20"/>
              </w:rPr>
            </w:pPr>
          </w:p>
        </w:tc>
        <w:tc>
          <w:tcPr>
            <w:tcW w:w="1175"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12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（二）政府性基金预算拨款</w:t>
            </w:r>
          </w:p>
        </w:tc>
        <w:tc>
          <w:tcPr>
            <w:tcW w:w="942"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3000.00</w:t>
            </w:r>
          </w:p>
        </w:tc>
        <w:tc>
          <w:tcPr>
            <w:tcW w:w="1900" w:type="dxa"/>
            <w:shd w:val="clear" w:color="auto" w:fill="FFFFFF"/>
            <w:noWrap/>
            <w:vAlign w:val="center"/>
          </w:tcPr>
          <w:p>
            <w:pPr>
              <w:widowControl/>
              <w:jc w:val="left"/>
              <w:rPr>
                <w:rFonts w:ascii="宋体" w:hAnsi="宋体" w:cs="宋体"/>
                <w:kern w:val="0"/>
                <w:sz w:val="20"/>
              </w:rPr>
            </w:pPr>
          </w:p>
        </w:tc>
        <w:tc>
          <w:tcPr>
            <w:tcW w:w="1175" w:type="dxa"/>
            <w:shd w:val="clear" w:color="auto" w:fill="FFFFFF"/>
            <w:noWrap/>
            <w:vAlign w:val="center"/>
          </w:tcPr>
          <w:p>
            <w:pPr>
              <w:widowControl/>
              <w:jc w:val="center"/>
              <w:rPr>
                <w:rFonts w:ascii="宋体" w:hAnsi="宋体" w:cs="宋体"/>
                <w:kern w:val="0"/>
                <w:sz w:val="20"/>
              </w:rPr>
            </w:pPr>
          </w:p>
        </w:tc>
        <w:tc>
          <w:tcPr>
            <w:tcW w:w="1275" w:type="dxa"/>
            <w:shd w:val="clear" w:color="auto" w:fill="FFFFFF"/>
            <w:noWrap/>
            <w:vAlign w:val="center"/>
          </w:tcPr>
          <w:p>
            <w:pPr>
              <w:widowControl/>
              <w:jc w:val="center"/>
              <w:rPr>
                <w:rFonts w:ascii="宋体" w:hAnsi="宋体" w:cs="宋体"/>
                <w:kern w:val="0"/>
                <w:sz w:val="20"/>
              </w:rPr>
            </w:pPr>
          </w:p>
        </w:tc>
        <w:tc>
          <w:tcPr>
            <w:tcW w:w="112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收入总计</w:t>
            </w:r>
          </w:p>
        </w:tc>
        <w:tc>
          <w:tcPr>
            <w:tcW w:w="942"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3447.67</w:t>
            </w:r>
          </w:p>
        </w:tc>
        <w:tc>
          <w:tcPr>
            <w:tcW w:w="190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支出总计</w:t>
            </w:r>
          </w:p>
        </w:tc>
        <w:tc>
          <w:tcPr>
            <w:tcW w:w="117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3447.67</w:t>
            </w:r>
          </w:p>
        </w:tc>
        <w:tc>
          <w:tcPr>
            <w:tcW w:w="127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447.67</w:t>
            </w:r>
          </w:p>
        </w:tc>
        <w:tc>
          <w:tcPr>
            <w:tcW w:w="1129"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3000.00</w:t>
            </w:r>
          </w:p>
        </w:tc>
      </w:tr>
    </w:tbl>
    <w:p>
      <w:r>
        <w:br w:type="page"/>
      </w:r>
    </w:p>
    <w:tbl>
      <w:tblPr>
        <w:tblStyle w:val="5"/>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756"/>
        <w:gridCol w:w="1401"/>
        <w:gridCol w:w="1401"/>
        <w:gridCol w:w="1402"/>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部门公开表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6005"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204"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2023年预算数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75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40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40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40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7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14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14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14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6005"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447.67</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221.67</w:t>
            </w:r>
          </w:p>
        </w:tc>
        <w:tc>
          <w:tcPr>
            <w:tcW w:w="140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226.00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一般公共服务支出　</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277.91</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177.91</w:t>
            </w:r>
          </w:p>
        </w:tc>
        <w:tc>
          <w:tcPr>
            <w:tcW w:w="140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03</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政府办公厅（室）及相关机构事务　</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19.21</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2.21</w:t>
            </w:r>
          </w:p>
        </w:tc>
        <w:tc>
          <w:tcPr>
            <w:tcW w:w="140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17.00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3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行政运行　</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19.21</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2.21</w:t>
            </w:r>
          </w:p>
        </w:tc>
        <w:tc>
          <w:tcPr>
            <w:tcW w:w="140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17.00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13</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商贸事务　</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258.70</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175.70</w:t>
            </w:r>
          </w:p>
        </w:tc>
        <w:tc>
          <w:tcPr>
            <w:tcW w:w="140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83.00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3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行政运行　</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52.90</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52.90</w:t>
            </w:r>
          </w:p>
        </w:tc>
        <w:tc>
          <w:tcPr>
            <w:tcW w:w="140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02</w:t>
            </w:r>
          </w:p>
        </w:tc>
        <w:tc>
          <w:tcPr>
            <w:tcW w:w="3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一般行政管理事务　</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205.80</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122.80</w:t>
            </w:r>
          </w:p>
        </w:tc>
        <w:tc>
          <w:tcPr>
            <w:tcW w:w="140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83.00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207</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文化旅游体育与传媒支出　</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126.00</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140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126.00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文化和旅游　</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126.00</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140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126.00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3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其他文化和旅游支出　</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126.00</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140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126.00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社会保障和就业支出　</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19.90</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19.90</w:t>
            </w:r>
          </w:p>
        </w:tc>
        <w:tc>
          <w:tcPr>
            <w:tcW w:w="140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行政事业单位养老支出　</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19.52</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19.52</w:t>
            </w:r>
          </w:p>
        </w:tc>
        <w:tc>
          <w:tcPr>
            <w:tcW w:w="140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05</w:t>
            </w:r>
          </w:p>
        </w:tc>
        <w:tc>
          <w:tcPr>
            <w:tcW w:w="3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机关事业单位基本养老保险缴费支出　</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13.01</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13.01</w:t>
            </w:r>
          </w:p>
        </w:tc>
        <w:tc>
          <w:tcPr>
            <w:tcW w:w="140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06</w:t>
            </w:r>
          </w:p>
        </w:tc>
        <w:tc>
          <w:tcPr>
            <w:tcW w:w="3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机关事业单位职业年金缴费支出　</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6.51</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6.51</w:t>
            </w:r>
          </w:p>
        </w:tc>
        <w:tc>
          <w:tcPr>
            <w:tcW w:w="140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其他社会保障和就业支出　</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0.38</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0.38</w:t>
            </w:r>
          </w:p>
        </w:tc>
        <w:tc>
          <w:tcPr>
            <w:tcW w:w="140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3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其他社会保障和就业支出　</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0.38</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0.38</w:t>
            </w:r>
          </w:p>
        </w:tc>
        <w:tc>
          <w:tcPr>
            <w:tcW w:w="140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卫生健康支出　</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11.20</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11.20</w:t>
            </w:r>
          </w:p>
        </w:tc>
        <w:tc>
          <w:tcPr>
            <w:tcW w:w="140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行政事业单位医疗　</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11.20</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11.20</w:t>
            </w:r>
          </w:p>
        </w:tc>
        <w:tc>
          <w:tcPr>
            <w:tcW w:w="140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3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行政单位医疗　</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2.10</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2.10</w:t>
            </w:r>
          </w:p>
        </w:tc>
        <w:tc>
          <w:tcPr>
            <w:tcW w:w="140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02</w:t>
            </w:r>
          </w:p>
        </w:tc>
        <w:tc>
          <w:tcPr>
            <w:tcW w:w="3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事业单位医疗　</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2.92</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2.92</w:t>
            </w:r>
          </w:p>
        </w:tc>
        <w:tc>
          <w:tcPr>
            <w:tcW w:w="140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03</w:t>
            </w:r>
          </w:p>
        </w:tc>
        <w:tc>
          <w:tcPr>
            <w:tcW w:w="3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公务员医疗补助　</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6.18</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6.18</w:t>
            </w:r>
          </w:p>
        </w:tc>
        <w:tc>
          <w:tcPr>
            <w:tcW w:w="140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住房保障支出　</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12.65</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12.65</w:t>
            </w:r>
          </w:p>
        </w:tc>
        <w:tc>
          <w:tcPr>
            <w:tcW w:w="140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住房改革支出　</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12.65</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12.65</w:t>
            </w:r>
          </w:p>
        </w:tc>
        <w:tc>
          <w:tcPr>
            <w:tcW w:w="140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3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住房公积金　</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12.65</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12.65</w:t>
            </w:r>
          </w:p>
        </w:tc>
        <w:tc>
          <w:tcPr>
            <w:tcW w:w="140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rPr>
          <w:rFonts w:ascii="仿宋_GB2312" w:eastAsia="仿宋_GB2312"/>
          <w:sz w:val="32"/>
          <w:szCs w:val="32"/>
        </w:rPr>
      </w:pPr>
      <w:r>
        <w:rPr>
          <w:rFonts w:hint="eastAsia" w:ascii="仿宋_GB2312" w:eastAsia="仿宋_GB2312"/>
          <w:sz w:val="32"/>
          <w:szCs w:val="32"/>
        </w:rPr>
        <w:br w:type="page"/>
      </w:r>
    </w:p>
    <w:tbl>
      <w:tblPr>
        <w:tblStyle w:val="5"/>
        <w:tblW w:w="11245" w:type="dxa"/>
        <w:jc w:val="center"/>
        <w:tblLayout w:type="fixed"/>
        <w:tblCellMar>
          <w:top w:w="0" w:type="dxa"/>
          <w:left w:w="108" w:type="dxa"/>
          <w:bottom w:w="0" w:type="dxa"/>
          <w:right w:w="108" w:type="dxa"/>
        </w:tblCellMar>
      </w:tblPr>
      <w:tblGrid>
        <w:gridCol w:w="650"/>
        <w:gridCol w:w="650"/>
        <w:gridCol w:w="3065"/>
        <w:gridCol w:w="2293"/>
        <w:gridCol w:w="2293"/>
        <w:gridCol w:w="2294"/>
      </w:tblGrid>
      <w:tr>
        <w:tblPrEx>
          <w:tblCellMar>
            <w:top w:w="0" w:type="dxa"/>
            <w:left w:w="108" w:type="dxa"/>
            <w:bottom w:w="0" w:type="dxa"/>
            <w:right w:w="108" w:type="dxa"/>
          </w:tblCellMar>
        </w:tblPrEx>
        <w:trPr>
          <w:trHeight w:val="264" w:hRule="atLeast"/>
          <w:jc w:val="center"/>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部门公开表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jc w:val="center"/>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jc w:val="center"/>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jc w:val="center"/>
        </w:trPr>
        <w:tc>
          <w:tcPr>
            <w:tcW w:w="4365"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6880"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2023年基本支出</w:t>
            </w:r>
          </w:p>
        </w:tc>
      </w:tr>
      <w:tr>
        <w:tblPrEx>
          <w:tblCellMar>
            <w:top w:w="0" w:type="dxa"/>
            <w:left w:w="108" w:type="dxa"/>
            <w:bottom w:w="0" w:type="dxa"/>
            <w:right w:w="108" w:type="dxa"/>
          </w:tblCellMar>
        </w:tblPrEx>
        <w:trPr>
          <w:trHeight w:val="330" w:hRule="atLeast"/>
          <w:jc w:val="center"/>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306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29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29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29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30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22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22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22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jc w:val="center"/>
        </w:trPr>
        <w:tc>
          <w:tcPr>
            <w:tcW w:w="4365" w:type="dxa"/>
            <w:gridSpan w:val="3"/>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221.67</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212.17</w:t>
            </w:r>
          </w:p>
        </w:tc>
        <w:tc>
          <w:tcPr>
            <w:tcW w:w="22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9.50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301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306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工资福利支出</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212.17</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212.17</w:t>
            </w:r>
          </w:p>
        </w:tc>
        <w:tc>
          <w:tcPr>
            <w:tcW w:w="22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306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基本工资</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27.61</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27.61</w:t>
            </w:r>
          </w:p>
        </w:tc>
        <w:tc>
          <w:tcPr>
            <w:tcW w:w="22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306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津贴补贴</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40.50</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40.50</w:t>
            </w:r>
          </w:p>
        </w:tc>
        <w:tc>
          <w:tcPr>
            <w:tcW w:w="22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306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奖金</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16.36</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16.36</w:t>
            </w:r>
          </w:p>
        </w:tc>
        <w:tc>
          <w:tcPr>
            <w:tcW w:w="22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306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伙食补助费</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306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绩效工资</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29.14</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29.14</w:t>
            </w:r>
          </w:p>
        </w:tc>
        <w:tc>
          <w:tcPr>
            <w:tcW w:w="22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306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机关事业单位基本养老保险缴费</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13.01</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13.01</w:t>
            </w:r>
          </w:p>
        </w:tc>
        <w:tc>
          <w:tcPr>
            <w:tcW w:w="22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306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职业年金缴费</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6.51</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6.51</w:t>
            </w:r>
          </w:p>
        </w:tc>
        <w:tc>
          <w:tcPr>
            <w:tcW w:w="22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306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职工基本医疗保险缴费</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5.03</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5.03</w:t>
            </w:r>
          </w:p>
        </w:tc>
        <w:tc>
          <w:tcPr>
            <w:tcW w:w="22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306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公务员医疗补助缴费</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6.18</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6.18</w:t>
            </w:r>
          </w:p>
        </w:tc>
        <w:tc>
          <w:tcPr>
            <w:tcW w:w="22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306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其他社会保障缴费</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0.38</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0.38</w:t>
            </w:r>
          </w:p>
        </w:tc>
        <w:tc>
          <w:tcPr>
            <w:tcW w:w="22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306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住房公积金</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12.65</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12.65</w:t>
            </w:r>
          </w:p>
        </w:tc>
        <w:tc>
          <w:tcPr>
            <w:tcW w:w="22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306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其他工资福利支出</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54.80</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54.80</w:t>
            </w:r>
          </w:p>
        </w:tc>
        <w:tc>
          <w:tcPr>
            <w:tcW w:w="22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302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306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商品和服务支出</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9.50</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9.50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306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办公费</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0.88</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0.88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306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印刷费</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306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水费</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0.16</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0.16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306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电费</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0.16</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0.16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306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邮电费</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0.64</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0.64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306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取暖费</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0.80</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0.80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306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差旅费</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0.72</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0.72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306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维修（护）费</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306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公务接待费</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0.24</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0.24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306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工会经费</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1.55</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1.55</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306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公务用车运行维护费</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39</w:t>
            </w:r>
          </w:p>
        </w:tc>
        <w:tc>
          <w:tcPr>
            <w:tcW w:w="306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其他交通费用</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2.72</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2.72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306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其他商品和服务支出</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0.64</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0.64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399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306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其他支出</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306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其他支出</w:t>
            </w: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9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29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bl>
    <w:p>
      <w:pPr>
        <w:rPr>
          <w:rFonts w:ascii="仿宋_GB2312" w:eastAsia="仿宋_GB2312"/>
          <w:sz w:val="10"/>
          <w:szCs w:val="32"/>
        </w:rPr>
      </w:pPr>
      <w:r>
        <w:rPr>
          <w:rFonts w:hint="eastAsia" w:ascii="仿宋_GB2312" w:eastAsia="仿宋_GB2312"/>
          <w:sz w:val="10"/>
          <w:szCs w:val="32"/>
        </w:rPr>
        <w:br w:type="page"/>
      </w:r>
    </w:p>
    <w:tbl>
      <w:tblPr>
        <w:tblStyle w:val="5"/>
        <w:tblW w:w="11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65"/>
        <w:gridCol w:w="965"/>
        <w:gridCol w:w="965"/>
        <w:gridCol w:w="965"/>
        <w:gridCol w:w="965"/>
        <w:gridCol w:w="965"/>
        <w:gridCol w:w="965"/>
        <w:gridCol w:w="965"/>
        <w:gridCol w:w="965"/>
        <w:gridCol w:w="96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F15"/>
            <w:bookmarkEnd w:id="1"/>
            <w:bookmarkStart w:id="2" w:name="RANGE!A1:F62"/>
            <w:bookmarkEnd w:id="2"/>
            <w:bookmarkStart w:id="3" w:name="RANGE!A1:G6"/>
            <w:bookmarkEnd w:id="3"/>
            <w:r>
              <w:rPr>
                <w:rFonts w:hint="eastAsia" w:ascii="宋体" w:hAnsi="宋体" w:cs="宋体"/>
                <w:b/>
                <w:kern w:val="0"/>
                <w:sz w:val="18"/>
                <w:szCs w:val="18"/>
              </w:rPr>
              <w:t>部门公开表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58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single" w:color="auto" w:sz="4" w:space="0"/>
              <w:right w:val="nil"/>
            </w:tcBorders>
            <w:noWrap/>
            <w:vAlign w:val="center"/>
          </w:tcPr>
          <w:p>
            <w:pPr>
              <w:jc w:val="right"/>
              <w:rPr>
                <w:rFonts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90" w:type="dxa"/>
            <w:gridSpan w:val="6"/>
            <w:tcBorders>
              <w:top w:val="single" w:color="auto" w:sz="4" w:space="0"/>
            </w:tcBorders>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97" w:type="dxa"/>
            <w:gridSpan w:val="6"/>
            <w:tcBorders>
              <w:top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2023年预算数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5"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72"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vMerge w:val="continue"/>
            <w:vAlign w:val="center"/>
          </w:tcPr>
          <w:p>
            <w:pPr>
              <w:widowControl/>
              <w:jc w:val="left"/>
              <w:rPr>
                <w:rFonts w:ascii="宋体" w:hAnsi="宋体" w:cs="宋体"/>
                <w:b/>
                <w:bCs/>
                <w:color w:val="000000"/>
                <w:kern w:val="0"/>
                <w:sz w:val="22"/>
                <w:szCs w:val="22"/>
              </w:rPr>
            </w:pP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72" w:type="dxa"/>
            <w:vMerge w:val="continue"/>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1.18</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0.18</w:t>
            </w: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1.24</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972"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0.24</w:t>
            </w:r>
          </w:p>
        </w:tc>
      </w:tr>
    </w:tbl>
    <w:p>
      <w:pPr>
        <w:rPr>
          <w:rFonts w:ascii="仿宋_GB2312" w:eastAsia="仿宋_GB2312"/>
          <w:sz w:val="32"/>
          <w:szCs w:val="32"/>
        </w:rPr>
      </w:pPr>
      <w:r>
        <w:rPr>
          <w:rFonts w:hint="eastAsia" w:ascii="仿宋_GB2312" w:eastAsia="仿宋_GB2312"/>
          <w:sz w:val="32"/>
          <w:szCs w:val="32"/>
        </w:rPr>
        <w:br w:type="page"/>
      </w:r>
    </w:p>
    <w:tbl>
      <w:tblPr>
        <w:tblStyle w:val="5"/>
        <w:tblW w:w="10279" w:type="dxa"/>
        <w:jc w:val="center"/>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jc w:val="center"/>
        </w:trPr>
        <w:tc>
          <w:tcPr>
            <w:tcW w:w="10279" w:type="dxa"/>
            <w:gridSpan w:val="7"/>
            <w:tcBorders>
              <w:top w:val="nil"/>
              <w:left w:val="nil"/>
              <w:bottom w:val="nil"/>
              <w:right w:val="nil"/>
            </w:tcBorders>
            <w:noWrap/>
            <w:vAlign w:val="center"/>
          </w:tcPr>
          <w:p>
            <w:pPr>
              <w:widowControl/>
              <w:jc w:val="right"/>
              <w:rPr>
                <w:rFonts w:ascii="宋体" w:hAnsi="宋体" w:cs="宋体"/>
                <w:b/>
                <w:bCs/>
                <w:kern w:val="0"/>
                <w:sz w:val="44"/>
                <w:szCs w:val="44"/>
              </w:rPr>
            </w:pPr>
            <w:r>
              <w:rPr>
                <w:rFonts w:hint="eastAsia" w:ascii="宋体" w:hAnsi="宋体" w:cs="宋体"/>
                <w:b/>
                <w:kern w:val="0"/>
                <w:sz w:val="18"/>
                <w:szCs w:val="18"/>
              </w:rPr>
              <w:t>部门公开表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2023年预算数</w:t>
            </w:r>
          </w:p>
        </w:tc>
      </w:tr>
      <w:tr>
        <w:tblPrEx>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ascii="仿宋_GB2312" w:eastAsia="仿宋_GB2312"/>
          <w:sz w:val="32"/>
          <w:szCs w:val="32"/>
        </w:rPr>
      </w:pPr>
      <w:r>
        <w:rPr>
          <w:rFonts w:hint="eastAsia" w:ascii="仿宋_GB2312" w:eastAsia="仿宋_GB2312"/>
          <w:sz w:val="32"/>
          <w:szCs w:val="32"/>
        </w:rPr>
        <w:t>（注：此表为空表）</w:t>
      </w:r>
    </w:p>
    <w:p>
      <w:pPr>
        <w:rPr>
          <w:rFonts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ascii="小标宋" w:eastAsia="小标宋"/>
          <w:b/>
          <w:color w:val="000000"/>
          <w:sz w:val="36"/>
          <w:szCs w:val="36"/>
        </w:rPr>
      </w:pPr>
      <w:bookmarkStart w:id="5" w:name="RANGE!A1:K13"/>
      <w:bookmarkEnd w:id="5"/>
      <w:r>
        <w:rPr>
          <w:rFonts w:hint="eastAsia" w:ascii="小标宋" w:eastAsia="小标宋"/>
          <w:b/>
          <w:color w:val="000000"/>
          <w:sz w:val="36"/>
          <w:szCs w:val="36"/>
        </w:rPr>
        <w:t>第三部分  部门预算情况说明</w:t>
      </w:r>
    </w:p>
    <w:p>
      <w:pPr>
        <w:ind w:firstLine="640" w:firstLineChars="200"/>
        <w:rPr>
          <w:rFonts w:ascii="黑体" w:hAnsi="宋体" w:eastAsia="黑体"/>
          <w:color w:val="000000"/>
          <w:sz w:val="32"/>
          <w:szCs w:val="32"/>
        </w:rPr>
      </w:pP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一、关于湟源县大华工业园区管理委员会2023年部门收支预算情况的总体说明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湟源县大华工业园区管理委员会所有收入和支出均纳入部门预算管理。收入包括：一般公共预算拨款收入447.67万元，上年结转3000.00万元；支出包括：一般公共服务支出277.91万元，文化旅游体育与传媒支出126.00万元，社会保障和就业支出19.90万元，卫生健康支出11.20万元，住房保障支出12.65万元，其他支出3000.00万元。湟源县大华工业园区管理委员会2023年收支总预算3447.67万元</w:t>
      </w:r>
      <w:r>
        <w:rPr>
          <w:rFonts w:ascii="仿宋_GB2312" w:eastAsia="仿宋_GB2312"/>
          <w:sz w:val="32"/>
          <w:szCs w:val="32"/>
        </w:rPr>
        <w:t>。</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二、关于湟源县大华工业园区管理委员会2023年部门收入预算情况说明</w:t>
      </w:r>
    </w:p>
    <w:p>
      <w:pPr>
        <w:ind w:firstLine="640" w:firstLineChars="200"/>
        <w:rPr>
          <w:rFonts w:ascii="仿宋_GB2312" w:eastAsia="仿宋_GB2312"/>
          <w:sz w:val="32"/>
          <w:szCs w:val="32"/>
        </w:rPr>
      </w:pPr>
      <w:r>
        <w:rPr>
          <w:rFonts w:hint="eastAsia" w:ascii="仿宋_GB2312" w:eastAsia="仿宋_GB2312"/>
          <w:sz w:val="32"/>
          <w:szCs w:val="32"/>
        </w:rPr>
        <w:t>湟源县大华工业园区管理委员会2023年收入预算3447.67万元，其中：上年结转3000.00万元，占87.02%；一般公共预算拨款收入447.67万元，占12.98%。</w:t>
      </w:r>
    </w:p>
    <w:p>
      <w:pPr>
        <w:ind w:firstLine="640" w:firstLineChars="200"/>
        <w:rPr>
          <w:rFonts w:ascii="仿宋_GB2312" w:eastAsia="仿宋_GB2312"/>
          <w:sz w:val="32"/>
          <w:szCs w:val="32"/>
        </w:rPr>
      </w:pPr>
      <w:r>
        <w:rPr>
          <w:rFonts w:ascii="仿宋_GB2312" w:eastAsia="仿宋_GB2312"/>
          <w:sz w:val="32"/>
          <w:szCs w:val="32"/>
        </w:rPr>
        <w:pict>
          <v:shape id="_x0000_i1025" o:spt="75" type="#_x0000_t75" style="height:164.05pt;width:356.85pt;" filled="f" o:preferrelative="t" stroked="f" coordsize="21600,21600">
            <v:path/>
            <v:fill on="f" focussize="0,0"/>
            <v:stroke on="f" joinstyle="miter"/>
            <v:imagedata r:id="rId7" o:title=""/>
            <o:lock v:ext="edit" aspectratio="t"/>
            <w10:wrap type="none"/>
            <w10:anchorlock/>
          </v:shape>
        </w:pic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三、关于湟源县大华工业园区管理委员会2023年部门支出预算情况说明</w:t>
      </w:r>
    </w:p>
    <w:p>
      <w:pPr>
        <w:ind w:firstLine="645"/>
        <w:rPr>
          <w:rFonts w:ascii="仿宋_GB2312" w:eastAsia="仿宋_GB2312"/>
          <w:sz w:val="32"/>
          <w:szCs w:val="32"/>
        </w:rPr>
      </w:pPr>
      <w:r>
        <w:rPr>
          <w:rFonts w:hint="eastAsia" w:ascii="仿宋_GB2312" w:eastAsia="仿宋_GB2312"/>
          <w:sz w:val="32"/>
          <w:szCs w:val="32"/>
        </w:rPr>
        <w:t>湟源县大华工业园区管理委员会2023年支出预算3447.67万元，其中：基本支出221.67万元，占6.43%；项目支出3226.00万元，占93.57%。</w:t>
      </w:r>
    </w:p>
    <w:p>
      <w:pPr>
        <w:ind w:firstLine="645"/>
        <w:rPr>
          <w:rFonts w:ascii="仿宋_GB2312" w:eastAsia="仿宋_GB2312"/>
          <w:sz w:val="32"/>
          <w:szCs w:val="32"/>
        </w:rPr>
      </w:pPr>
      <w:r>
        <w:rPr>
          <w:rFonts w:ascii="仿宋_GB2312" w:eastAsia="仿宋_GB2312"/>
          <w:sz w:val="32"/>
          <w:szCs w:val="32"/>
        </w:rPr>
        <w:pict>
          <v:shape id="_x0000_i1026" o:spt="75" type="#_x0000_t75" style="height:164.65pt;width:358.1pt;" filled="f" o:preferrelative="t" stroked="f" coordsize="21600,21600">
            <v:path/>
            <v:fill on="f" focussize="0,0"/>
            <v:stroke on="f" joinstyle="miter"/>
            <v:imagedata r:id="rId8" o:title=""/>
            <o:lock v:ext="edit" aspectratio="t"/>
            <w10:wrap type="none"/>
            <w10:anchorlock/>
          </v:shape>
        </w:pict>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四、关于湟源县大华工业园区管理委员会2023年财政拨款收支预算情况的总体说明</w:t>
      </w:r>
    </w:p>
    <w:p>
      <w:pPr>
        <w:ind w:firstLine="645"/>
        <w:rPr>
          <w:rFonts w:ascii="仿宋_GB2312" w:eastAsia="仿宋_GB2312"/>
          <w:sz w:val="32"/>
          <w:szCs w:val="32"/>
        </w:rPr>
      </w:pPr>
      <w:r>
        <w:rPr>
          <w:rFonts w:hint="eastAsia" w:ascii="仿宋_GB2312" w:eastAsia="仿宋_GB2312"/>
          <w:sz w:val="32"/>
          <w:szCs w:val="32"/>
        </w:rPr>
        <w:t>湟源县大华工业园区管理委员会2023年财政拨款收支总预算3447.67万元，比上年增加3192.01万元，主要是上年结转3000万元，新增项目文化旅游体育与传媒支出126万，新增人员，故财政拨款总预算增加。收入包括：一般公共预算拨款收入447.67万元，上年结转0.00万元；政府性基金预算拨款收入0.00万元，上年结转3000.00万元。支出包括： 一般公共服务支出277.91万元， 文化旅游体育与传媒支出126.00万元， 社会保障和就业支出19.90万元， 卫生健康支出11.20万元， 住房保障支出12.65万元， 其他支出3000.00万元。</w:t>
      </w:r>
    </w:p>
    <w:p>
      <w:pPr>
        <w:ind w:firstLine="645"/>
        <w:rPr>
          <w:rFonts w:ascii="仿宋_GB2312" w:eastAsia="仿宋_GB2312"/>
          <w:sz w:val="32"/>
          <w:szCs w:val="32"/>
        </w:rPr>
      </w:pPr>
      <w:r>
        <w:rPr>
          <w:rFonts w:ascii="仿宋_GB2312" w:eastAsia="仿宋_GB2312"/>
          <w:sz w:val="32"/>
          <w:szCs w:val="32"/>
        </w:rPr>
        <w:pict>
          <v:shape id="_x0000_i1027" o:spt="75" type="#_x0000_t75" style="height:161.55pt;width:351.85pt;" filled="f" o:preferrelative="t" stroked="f" coordsize="21600,21600">
            <v:path/>
            <v:fill on="f" focussize="0,0"/>
            <v:stroke on="f" joinstyle="miter"/>
            <v:imagedata r:id="rId9" o:title=""/>
            <o:lock v:ext="edit" aspectratio="t"/>
            <w10:wrap type="none"/>
            <w10:anchorlock/>
          </v:shape>
        </w:pic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五、关于湟源县大华工业园区管理委员会2023年一般公共预算当年拨款情况说明</w:t>
      </w:r>
    </w:p>
    <w:p>
      <w:pPr>
        <w:ind w:firstLine="645"/>
        <w:rPr>
          <w:rFonts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ascii="仿宋_GB2312" w:eastAsia="仿宋_GB2312"/>
          <w:iCs/>
          <w:sz w:val="32"/>
          <w:szCs w:val="32"/>
        </w:rPr>
      </w:pPr>
      <w:r>
        <w:rPr>
          <w:rFonts w:hint="eastAsia" w:ascii="仿宋_GB2312" w:eastAsia="仿宋_GB2312"/>
          <w:sz w:val="32"/>
          <w:szCs w:val="32"/>
        </w:rPr>
        <w:t>湟源县大华工业园区管理委员会2023年一般公共预算当年拨款447.67万元,比上年增加192.01万元，主要</w:t>
      </w:r>
      <w:r>
        <w:rPr>
          <w:rFonts w:hint="eastAsia" w:ascii="仿宋_GB2312" w:eastAsia="仿宋_GB2312"/>
          <w:sz w:val="32"/>
          <w:szCs w:val="32"/>
          <w:lang w:val="en-US" w:eastAsia="zh-CN"/>
        </w:rPr>
        <w:t>是</w:t>
      </w:r>
      <w:r>
        <w:rPr>
          <w:rFonts w:hint="eastAsia" w:ascii="仿宋_GB2312" w:eastAsia="仿宋_GB2312"/>
          <w:sz w:val="32"/>
          <w:szCs w:val="32"/>
        </w:rPr>
        <w:t>新增项目文化旅游体育与传媒126万，2</w:t>
      </w:r>
      <w:r>
        <w:rPr>
          <w:rFonts w:hint="eastAsia" w:ascii="仿宋_GB2312" w:eastAsia="仿宋_GB2312"/>
          <w:sz w:val="32"/>
          <w:szCs w:val="32"/>
          <w:lang w:val="en-US" w:eastAsia="zh-CN"/>
        </w:rPr>
        <w:t>02</w:t>
      </w:r>
      <w:r>
        <w:rPr>
          <w:rFonts w:hint="eastAsia" w:ascii="仿宋_GB2312" w:eastAsia="仿宋_GB2312"/>
          <w:sz w:val="32"/>
          <w:szCs w:val="32"/>
        </w:rPr>
        <w:t>3年新增人员，故</w:t>
      </w:r>
      <w:r>
        <w:rPr>
          <w:rFonts w:hint="eastAsia" w:ascii="仿宋_GB2312" w:eastAsia="仿宋_GB2312"/>
          <w:sz w:val="32"/>
          <w:szCs w:val="32"/>
          <w:lang w:val="en-US" w:eastAsia="zh-CN"/>
        </w:rPr>
        <w:t>20</w:t>
      </w:r>
      <w:r>
        <w:rPr>
          <w:rFonts w:hint="eastAsia" w:ascii="仿宋_GB2312" w:eastAsia="仿宋_GB2312"/>
          <w:sz w:val="32"/>
          <w:szCs w:val="32"/>
        </w:rPr>
        <w:t>23年一般公共预算比上年增加</w:t>
      </w:r>
      <w:r>
        <w:rPr>
          <w:rFonts w:hint="eastAsia" w:ascii="仿宋_GB2312" w:eastAsia="仿宋_GB2312"/>
          <w:iCs/>
          <w:sz w:val="32"/>
          <w:szCs w:val="32"/>
        </w:rPr>
        <w:t>。</w:t>
      </w:r>
    </w:p>
    <w:p>
      <w:pPr>
        <w:ind w:firstLine="645"/>
        <w:rPr>
          <w:rFonts w:ascii="仿宋_GB2312" w:eastAsia="仿宋_GB2312"/>
          <w:iCs/>
          <w:sz w:val="32"/>
          <w:szCs w:val="32"/>
        </w:rPr>
      </w:pPr>
      <w:r>
        <w:rPr>
          <w:rFonts w:ascii="仿宋_GB2312" w:eastAsia="仿宋_GB2312"/>
          <w:iCs/>
          <w:sz w:val="32"/>
          <w:szCs w:val="32"/>
        </w:rPr>
        <w:pict>
          <v:shape id="_x0000_i1028" o:spt="75" type="#_x0000_t75" style="height:115.2pt;width:336.85pt;" filled="f" o:preferrelative="t" stroked="f" coordsize="21600,21600">
            <v:path/>
            <v:fill on="f" focussize="0,0"/>
            <v:stroke on="f" joinstyle="miter"/>
            <v:imagedata r:id="rId10" o:title=""/>
            <o:lock v:ext="edit" aspectratio="t"/>
            <w10:wrap type="none"/>
            <w10:anchorlock/>
          </v:shape>
        </w:pict>
      </w:r>
    </w:p>
    <w:p>
      <w:pPr>
        <w:ind w:firstLine="645"/>
        <w:rPr>
          <w:rFonts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ascii="仿宋_GB2312" w:eastAsia="仿宋_GB2312"/>
          <w:sz w:val="32"/>
          <w:szCs w:val="32"/>
        </w:rPr>
      </w:pPr>
      <w:r>
        <w:rPr>
          <w:rFonts w:hint="eastAsia" w:ascii="仿宋_GB2312" w:eastAsia="仿宋_GB2312"/>
          <w:sz w:val="32"/>
          <w:szCs w:val="32"/>
        </w:rPr>
        <w:t>一般公共服务支出277.91万元，占62.08%；文化旅游体育与传媒支出126.00万元，占28.15%；社会保障和就业支出19.90万元，占4.45%；卫生健康支出11.20万元，占2.50%；住房保障支出12.65万元，占2.83%。</w:t>
      </w:r>
    </w:p>
    <w:p>
      <w:pPr>
        <w:ind w:firstLine="645"/>
        <w:rPr>
          <w:rFonts w:ascii="仿宋_GB2312" w:eastAsia="仿宋_GB2312"/>
          <w:sz w:val="32"/>
          <w:szCs w:val="32"/>
        </w:rPr>
      </w:pPr>
      <w:r>
        <w:rPr>
          <w:rFonts w:ascii="仿宋_GB2312" w:eastAsia="仿宋_GB2312"/>
          <w:sz w:val="32"/>
          <w:szCs w:val="32"/>
        </w:rPr>
        <w:pict>
          <v:shape id="_x0000_i1029" o:spt="75" type="#_x0000_t75" style="height:163.4pt;width:355pt;" filled="f" o:preferrelative="t" stroked="f" coordsize="21600,21600">
            <v:path/>
            <v:fill on="f" focussize="0,0"/>
            <v:stroke on="f" joinstyle="miter"/>
            <v:imagedata r:id="rId11" o:title=""/>
            <o:lock v:ext="edit" aspectratio="t"/>
            <w10:wrap type="none"/>
            <w10:anchorlock/>
          </v:shape>
        </w:pict>
      </w:r>
    </w:p>
    <w:p>
      <w:pPr>
        <w:ind w:firstLine="645"/>
        <w:rPr>
          <w:rFonts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ascii="仿宋_GB2312" w:eastAsia="仿宋_GB2312"/>
          <w:sz w:val="32"/>
          <w:szCs w:val="32"/>
        </w:rPr>
      </w:pPr>
      <w:r>
        <w:rPr>
          <w:rFonts w:hint="eastAsia" w:ascii="仿宋_GB2312" w:eastAsia="仿宋_GB2312"/>
          <w:sz w:val="32"/>
          <w:szCs w:val="32"/>
        </w:rPr>
        <w:t>1、一般公共服务支出（类）政府办公厅（室）及相关机构事务（款）行政运行（项）2023年预算数为19.21万元，比上年增加19.21万元，增长100.00%。主要是22年无此款项，23年新增人员、新增款项，故一般公共服务支出政府办公厅（室）及相关机构事务行政运行比上年增加。</w:t>
      </w:r>
    </w:p>
    <w:p>
      <w:pPr>
        <w:ind w:firstLine="645"/>
        <w:rPr>
          <w:rFonts w:ascii="仿宋_GB2312" w:eastAsia="仿宋_GB2312"/>
          <w:sz w:val="32"/>
          <w:szCs w:val="32"/>
        </w:rPr>
      </w:pPr>
      <w:r>
        <w:rPr>
          <w:rFonts w:hint="eastAsia" w:ascii="仿宋_GB2312" w:eastAsia="仿宋_GB2312"/>
          <w:sz w:val="32"/>
          <w:szCs w:val="32"/>
        </w:rPr>
        <w:t>2、一般公共服务支出（类）商贸事务（款）行政运行（项）2023年预算数为52.90万元，比上年减少6.19万元，下降10.48%。主要是22年新增人员，调整款项，故一般公共服务支出商贸事务（款）行政运行减少。</w:t>
      </w:r>
    </w:p>
    <w:p>
      <w:pPr>
        <w:ind w:firstLine="645"/>
        <w:rPr>
          <w:rFonts w:ascii="仿宋_GB2312" w:eastAsia="仿宋_GB2312"/>
          <w:sz w:val="32"/>
          <w:szCs w:val="32"/>
        </w:rPr>
      </w:pPr>
      <w:r>
        <w:rPr>
          <w:rFonts w:hint="eastAsia" w:ascii="仿宋_GB2312" w:eastAsia="仿宋_GB2312"/>
          <w:sz w:val="32"/>
          <w:szCs w:val="32"/>
        </w:rPr>
        <w:t>3、一般公共服务支出（类）商贸事务（款）一般行政管理事务（项）2023年预算数为205.80万元，比上年增加36.01万元，增长21.21%。主要是新增人员，故比上年增加。</w:t>
      </w:r>
    </w:p>
    <w:p>
      <w:pPr>
        <w:ind w:firstLine="645"/>
        <w:rPr>
          <w:rFonts w:ascii="仿宋_GB2312" w:eastAsia="仿宋_GB2312"/>
          <w:sz w:val="32"/>
          <w:szCs w:val="32"/>
        </w:rPr>
      </w:pPr>
      <w:r>
        <w:rPr>
          <w:rFonts w:hint="eastAsia" w:ascii="仿宋_GB2312" w:eastAsia="仿宋_GB2312"/>
          <w:sz w:val="32"/>
          <w:szCs w:val="32"/>
        </w:rPr>
        <w:t>4、文化旅游体育与传媒支出（类）文化和旅游（款）其他文化和旅游支出（项）2023年预算数为126.00万元，比上年增加126.00万元，增长100.00%。主要是23年新增项目。</w:t>
      </w:r>
    </w:p>
    <w:p>
      <w:pPr>
        <w:ind w:firstLine="645"/>
        <w:rPr>
          <w:rFonts w:ascii="仿宋_GB2312" w:eastAsia="仿宋_GB2312"/>
          <w:sz w:val="32"/>
          <w:szCs w:val="32"/>
        </w:rPr>
      </w:pPr>
      <w:r>
        <w:rPr>
          <w:rFonts w:hint="eastAsia" w:ascii="仿宋_GB2312" w:eastAsia="仿宋_GB2312"/>
          <w:sz w:val="32"/>
          <w:szCs w:val="32"/>
        </w:rPr>
        <w:t>5、社会保障和就业支出（类）行政事业单位养老支出（款）机关事业单位基本养老保险缴费支出（项）2023年预算数为13.01万元，比上年增加5.71万元，增长78.22%。主要是新增行政人员</w:t>
      </w:r>
      <w:r>
        <w:rPr>
          <w:rFonts w:hint="eastAsia" w:ascii="仿宋_GB2312" w:eastAsia="仿宋_GB2312"/>
          <w:i/>
          <w:sz w:val="32"/>
          <w:szCs w:val="32"/>
        </w:rPr>
        <w:t>，</w:t>
      </w:r>
      <w:r>
        <w:rPr>
          <w:rFonts w:hint="eastAsia" w:ascii="仿宋_GB2312" w:eastAsia="仿宋_GB2312"/>
          <w:sz w:val="32"/>
          <w:szCs w:val="32"/>
        </w:rPr>
        <w:t>故机关事业单位基本养老保险缴费比上年增加。</w:t>
      </w:r>
    </w:p>
    <w:p>
      <w:pPr>
        <w:ind w:firstLine="645"/>
        <w:rPr>
          <w:rFonts w:ascii="仿宋_GB2312" w:eastAsia="仿宋_GB2312"/>
          <w:sz w:val="32"/>
          <w:szCs w:val="32"/>
        </w:rPr>
      </w:pPr>
      <w:r>
        <w:rPr>
          <w:rFonts w:hint="eastAsia" w:ascii="仿宋_GB2312" w:eastAsia="仿宋_GB2312"/>
          <w:sz w:val="32"/>
          <w:szCs w:val="32"/>
        </w:rPr>
        <w:t>6、社会保障和就业支出（类）行政事业单位养老支出（款）机关事业单位职业年金缴费支出（项）2023年预算数为6.51万元，比上年增加2.86万元，增长78.36%。主要是新增行政人员</w:t>
      </w:r>
      <w:r>
        <w:rPr>
          <w:rFonts w:hint="eastAsia" w:ascii="仿宋_GB2312" w:eastAsia="仿宋_GB2312"/>
          <w:i/>
          <w:sz w:val="32"/>
          <w:szCs w:val="32"/>
        </w:rPr>
        <w:t>，</w:t>
      </w:r>
      <w:r>
        <w:rPr>
          <w:rFonts w:hint="eastAsia" w:ascii="仿宋_GB2312" w:eastAsia="仿宋_GB2312"/>
          <w:sz w:val="32"/>
          <w:szCs w:val="32"/>
        </w:rPr>
        <w:t>故机关事业单位职业年金缴费支出比上年增加。</w:t>
      </w:r>
    </w:p>
    <w:p>
      <w:pPr>
        <w:ind w:firstLine="645"/>
        <w:rPr>
          <w:rFonts w:ascii="仿宋_GB2312" w:eastAsia="仿宋_GB2312"/>
          <w:sz w:val="32"/>
          <w:szCs w:val="32"/>
        </w:rPr>
      </w:pPr>
      <w:r>
        <w:rPr>
          <w:rFonts w:hint="eastAsia" w:ascii="仿宋_GB2312" w:eastAsia="仿宋_GB2312"/>
          <w:sz w:val="32"/>
          <w:szCs w:val="32"/>
        </w:rPr>
        <w:t>7、社会保障和就业支出（类）其他社会保障和就业支出（款）其他社会保障和就业支出（项）2023年预算数为0.38万元，比上年增加0.08万元，增长26.67%。主要是新增行政人员，故其他社会保障和就业支出比上年增加。</w:t>
      </w:r>
    </w:p>
    <w:p>
      <w:pPr>
        <w:ind w:firstLine="645"/>
        <w:rPr>
          <w:rFonts w:ascii="仿宋_GB2312" w:eastAsia="仿宋_GB2312"/>
          <w:sz w:val="32"/>
          <w:szCs w:val="32"/>
        </w:rPr>
      </w:pPr>
      <w:r>
        <w:rPr>
          <w:rFonts w:hint="eastAsia" w:ascii="仿宋_GB2312" w:eastAsia="仿宋_GB2312"/>
          <w:sz w:val="32"/>
          <w:szCs w:val="32"/>
        </w:rPr>
        <w:t>8、卫生健康支出（类）行政事业单位医疗（款）行政单位医疗（项）2023年预算数为2.10万元，比上年增加0.65万元，增长44.83%。主要是新增行政人员，故行政事业单位医疗比上年增加。</w:t>
      </w:r>
    </w:p>
    <w:p>
      <w:pPr>
        <w:ind w:firstLine="645"/>
        <w:rPr>
          <w:rFonts w:ascii="仿宋_GB2312" w:eastAsia="仿宋_GB2312"/>
          <w:sz w:val="32"/>
          <w:szCs w:val="32"/>
        </w:rPr>
      </w:pPr>
      <w:r>
        <w:rPr>
          <w:rFonts w:hint="eastAsia" w:ascii="仿宋_GB2312" w:eastAsia="仿宋_GB2312"/>
          <w:sz w:val="32"/>
          <w:szCs w:val="32"/>
        </w:rPr>
        <w:t>9、卫生健康支出（类）行政事业单位医疗（款）事业单位医疗（项）2023年预算数为2.92万元，比上年增加0.56万元，增长23.73%。主要是新增行政人员。</w:t>
      </w:r>
    </w:p>
    <w:p>
      <w:pPr>
        <w:ind w:firstLine="645"/>
        <w:rPr>
          <w:rFonts w:ascii="仿宋_GB2312" w:eastAsia="仿宋_GB2312"/>
          <w:sz w:val="32"/>
          <w:szCs w:val="32"/>
        </w:rPr>
      </w:pPr>
      <w:r>
        <w:rPr>
          <w:rFonts w:hint="eastAsia" w:ascii="仿宋_GB2312" w:eastAsia="仿宋_GB2312"/>
          <w:sz w:val="32"/>
          <w:szCs w:val="32"/>
        </w:rPr>
        <w:t>10、卫生健康支出（类）行政事业单位医疗（款）公务员医疗补助（项）2023年预算数为6.18万元，比上年增加1.50万元，增长32.05%。主要是新增行政人员。</w:t>
      </w:r>
    </w:p>
    <w:p>
      <w:pPr>
        <w:ind w:firstLine="645"/>
        <w:rPr>
          <w:rFonts w:ascii="仿宋_GB2312" w:eastAsia="仿宋_GB2312"/>
          <w:sz w:val="32"/>
          <w:szCs w:val="32"/>
        </w:rPr>
      </w:pPr>
      <w:r>
        <w:rPr>
          <w:rFonts w:hint="eastAsia" w:ascii="仿宋_GB2312" w:eastAsia="仿宋_GB2312"/>
          <w:sz w:val="32"/>
          <w:szCs w:val="32"/>
        </w:rPr>
        <w:t>11、住房保障支出（类）住房改革支出（款）住房公积金（项）2023年预算数为12.65万元，比上年增加5.62万元，增长79.94%。主要是新增行政人员。</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rPr>
        <w:t>湟源县大华工业园区管理委员会2023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ascii="仿宋_GB2312" w:eastAsia="仿宋_GB2312"/>
          <w:sz w:val="32"/>
          <w:szCs w:val="32"/>
        </w:rPr>
      </w:pPr>
      <w:r>
        <w:rPr>
          <w:rFonts w:hint="eastAsia" w:ascii="仿宋_GB2312" w:eastAsia="仿宋_GB2312"/>
          <w:sz w:val="32"/>
          <w:szCs w:val="32"/>
        </w:rPr>
        <w:t>湟源县大华工业园区管理委员会2023年一般公共预算基本支出221.67万元，其中：</w:t>
      </w:r>
      <w:r>
        <w:rPr>
          <w:rFonts w:hint="eastAsia" w:ascii="黑体" w:eastAsia="黑体"/>
          <w:sz w:val="32"/>
          <w:szCs w:val="32"/>
        </w:rPr>
        <w:t>人员经费</w:t>
      </w:r>
      <w:r>
        <w:rPr>
          <w:rFonts w:hint="eastAsia" w:ascii="仿宋_GB2312" w:eastAsia="仿宋_GB2312"/>
          <w:sz w:val="32"/>
          <w:szCs w:val="32"/>
        </w:rPr>
        <w:t>212.17万元，主要包括：基本工资27.61万元、津贴补贴40.50万元、奖金16.36万元、绩效工资29.14万元、机关事业单位基本养老保险缴费13.01万元、职业年金缴费6.51万元、职工基本医疗保险缴费5.03万元、公务员医疗补助缴费6.18万元、其他社会保障缴费0.38万元、住房公积金12.65万元、其他工资福利支出54.80万元；</w:t>
      </w:r>
    </w:p>
    <w:p>
      <w:pPr>
        <w:ind w:firstLine="640" w:firstLineChars="200"/>
        <w:rPr>
          <w:rFonts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rPr>
        <w:t>9.50万元，主要包括：办公费0.88万元、水费0.16万元、电费0.16万元、邮电费0.64万元、取暖费0.80万元、差旅费0.72万元、公务接待费0.24万元、工会经费1.55万元、公务用车运行维护费1.00万元、其他交通费用2.72万元、其他商品和服务支出0.64万元。</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rPr>
        <w:t>湟源县大华工业园区管理委员会2023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firstLineChars="200"/>
        <w:rPr>
          <w:rFonts w:ascii="仿宋_GB2312" w:eastAsia="仿宋_GB2312"/>
          <w:sz w:val="32"/>
          <w:szCs w:val="32"/>
        </w:rPr>
      </w:pPr>
      <w:r>
        <w:rPr>
          <w:rFonts w:hint="eastAsia" w:ascii="仿宋_GB2312" w:eastAsia="仿宋_GB2312"/>
          <w:sz w:val="32"/>
          <w:szCs w:val="32"/>
        </w:rPr>
        <w:t>湟源县大华工业园区管理委员会2023年一般公共预算“三公”经费预算数为1.24万元，比上年增加0.06万元，其中：因公出国（境）费0.00万元，增加0.00万元；公务用车购置及运行费1.00万元，增加0.00万元；公务接待费0.24万元，增加0.06万元。2023年“三公”经费预算比上年增加主要是23年加大招商引资力度。</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rPr>
        <w:t>湟源县大华工业园区管理委员会2023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ascii="仿宋_GB2312" w:eastAsia="仿宋_GB2312"/>
          <w:sz w:val="32"/>
          <w:szCs w:val="32"/>
        </w:rPr>
      </w:pPr>
      <w:r>
        <w:rPr>
          <w:rFonts w:hint="eastAsia" w:ascii="仿宋_GB2312" w:eastAsia="仿宋_GB2312"/>
          <w:sz w:val="32"/>
          <w:szCs w:val="32"/>
        </w:rPr>
        <w:t>湟源县大华工业园区管理委员会2023年没有使用政府性基金预算拨款安排的支出。</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2023年湟源县大华工业园区管理委员会机关运行经费财政拨款预算9.50万元，比</w:t>
      </w:r>
      <w:r>
        <w:rPr>
          <w:rFonts w:hint="eastAsia" w:ascii="仿宋_GB2312" w:eastAsia="仿宋_GB2312"/>
          <w:sz w:val="32"/>
          <w:szCs w:val="32"/>
        </w:rPr>
        <w:t>上</w:t>
      </w:r>
      <w:r>
        <w:rPr>
          <w:rFonts w:hint="eastAsia" w:ascii="仿宋_GB2312" w:hAnsi="仿宋" w:eastAsia="仿宋_GB2312"/>
          <w:spacing w:val="-6"/>
          <w:kern w:val="2"/>
          <w:sz w:val="32"/>
          <w:szCs w:val="32"/>
          <w:lang w:val="en-US"/>
        </w:rPr>
        <w:t>年预算增加2.32万元，增长32.31%。主要是新增行政人员，故比</w:t>
      </w:r>
      <w:r>
        <w:rPr>
          <w:rFonts w:hint="eastAsia" w:ascii="仿宋_GB2312" w:eastAsia="仿宋_GB2312"/>
          <w:sz w:val="32"/>
          <w:szCs w:val="32"/>
        </w:rPr>
        <w:t>上</w:t>
      </w:r>
      <w:r>
        <w:rPr>
          <w:rFonts w:hint="eastAsia" w:ascii="仿宋_GB2312" w:hAnsi="仿宋" w:eastAsia="仿宋_GB2312"/>
          <w:spacing w:val="-6"/>
          <w:kern w:val="2"/>
          <w:sz w:val="32"/>
          <w:szCs w:val="32"/>
          <w:lang w:val="en-US"/>
        </w:rPr>
        <w:t>年预算增加2.32万元。</w:t>
      </w:r>
    </w:p>
    <w:p>
      <w:pPr>
        <w:adjustRightInd w:val="0"/>
        <w:snapToGrid w:val="0"/>
        <w:spacing w:line="560" w:lineRule="exact"/>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ascii="仿宋_GB2312" w:hAnsi="仿宋" w:eastAsia="仿宋_GB2312"/>
          <w:spacing w:val="-6"/>
          <w:kern w:val="2"/>
          <w:sz w:val="32"/>
          <w:szCs w:val="32"/>
          <w:lang w:val="en-US"/>
        </w:rPr>
      </w:pPr>
      <w:bookmarkStart w:id="6" w:name="_GoBack"/>
      <w:r>
        <w:rPr>
          <w:rFonts w:hint="eastAsia" w:ascii="仿宋_GB2312" w:hAnsi="仿宋" w:eastAsia="仿宋_GB2312"/>
          <w:spacing w:val="-6"/>
          <w:kern w:val="2"/>
          <w:sz w:val="32"/>
          <w:szCs w:val="32"/>
          <w:lang w:val="en-US"/>
        </w:rPr>
        <w:t>2023年湟源县大华工业园区管理委员会各单位政府采购预算总额0万元，其中：政府采购货物预算0万元、政府采购工程预算0万元、政府采购服务预算0万元。</w:t>
      </w:r>
    </w:p>
    <w:p>
      <w:pPr>
        <w:adjustRightInd w:val="0"/>
        <w:snapToGrid w:val="0"/>
        <w:spacing w:line="560" w:lineRule="exact"/>
        <w:ind w:firstLine="619" w:firstLineChars="200"/>
        <w:rPr>
          <w:rFonts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截至2023年2月底，湟源县大华工业园区管理委员会所属各预算单位共有车辆1辆，其中，省级领导干部用车0辆、厅级领导干部用车0辆、一般公务用车1辆、一般执法执勤用车0辆、特种专业技术用车0辆、其他用车0辆。单价50万元以上通用设备0台（套），单价100万元以上专用设备0台（套）。</w:t>
      </w:r>
    </w:p>
    <w:p>
      <w:pPr>
        <w:adjustRightInd w:val="0"/>
        <w:snapToGrid w:val="0"/>
        <w:spacing w:line="560" w:lineRule="exact"/>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2023年湟源县大华工业园区管理委员会预算均实行绩效目标管理，涉及项目5个，预算金额226.00万元。</w:t>
      </w:r>
      <w:bookmarkEnd w:id="6"/>
    </w:p>
    <w:p>
      <w:pPr>
        <w:jc w:val="center"/>
        <w:rPr>
          <w:rFonts w:ascii="仿宋_GB2312" w:eastAsia="仿宋_GB2312"/>
          <w:b/>
          <w:sz w:val="32"/>
          <w:szCs w:val="32"/>
        </w:rPr>
      </w:pPr>
    </w:p>
    <w:tbl>
      <w:tblPr>
        <w:tblStyle w:val="5"/>
        <w:tblW w:w="10715" w:type="dxa"/>
        <w:jc w:val="center"/>
        <w:tblLayout w:type="fixed"/>
        <w:tblCellMar>
          <w:top w:w="0" w:type="dxa"/>
          <w:left w:w="108" w:type="dxa"/>
          <w:bottom w:w="0" w:type="dxa"/>
          <w:right w:w="108" w:type="dxa"/>
        </w:tblCellMar>
      </w:tblPr>
      <w:tblGrid>
        <w:gridCol w:w="1441"/>
        <w:gridCol w:w="1359"/>
        <w:gridCol w:w="1766"/>
        <w:gridCol w:w="767"/>
        <w:gridCol w:w="758"/>
        <w:gridCol w:w="1875"/>
        <w:gridCol w:w="950"/>
        <w:gridCol w:w="892"/>
        <w:gridCol w:w="907"/>
      </w:tblGrid>
      <w:tr>
        <w:tblPrEx>
          <w:tblCellMar>
            <w:top w:w="0" w:type="dxa"/>
            <w:left w:w="108" w:type="dxa"/>
            <w:bottom w:w="0" w:type="dxa"/>
            <w:right w:w="108" w:type="dxa"/>
          </w:tblCellMar>
        </w:tblPrEx>
        <w:trPr>
          <w:trHeight w:val="420" w:hRule="atLeast"/>
          <w:jc w:val="center"/>
        </w:trPr>
        <w:tc>
          <w:tcPr>
            <w:tcW w:w="10715" w:type="dxa"/>
            <w:gridSpan w:val="9"/>
            <w:tcBorders>
              <w:top w:val="nil"/>
              <w:left w:val="nil"/>
              <w:bottom w:val="nil"/>
              <w:right w:val="nil"/>
            </w:tcBorders>
            <w:shd w:val="clear" w:color="auto" w:fill="auto"/>
            <w:noWrap/>
            <w:vAlign w:val="center"/>
          </w:tcPr>
          <w:p>
            <w:pPr>
              <w:widowControl/>
              <w:jc w:val="center"/>
              <w:textAlignment w:val="center"/>
              <w:rPr>
                <w:rFonts w:ascii="黑体" w:hAnsi="宋体" w:eastAsia="黑体" w:cs="黑体"/>
                <w:b/>
                <w:bCs/>
                <w:color w:val="000000"/>
                <w:sz w:val="32"/>
                <w:szCs w:val="32"/>
              </w:rPr>
            </w:pPr>
            <w:r>
              <w:rPr>
                <w:rFonts w:hint="eastAsia" w:ascii="黑体" w:hAnsi="宋体" w:eastAsia="黑体" w:cs="黑体"/>
                <w:b/>
                <w:bCs/>
                <w:color w:val="000000"/>
                <w:kern w:val="0"/>
                <w:sz w:val="32"/>
                <w:szCs w:val="32"/>
              </w:rPr>
              <w:t xml:space="preserve"> 部门预算项目支出绩效目标公开表</w:t>
            </w:r>
          </w:p>
        </w:tc>
      </w:tr>
      <w:tr>
        <w:tblPrEx>
          <w:tblCellMar>
            <w:top w:w="0" w:type="dxa"/>
            <w:left w:w="108" w:type="dxa"/>
            <w:bottom w:w="0" w:type="dxa"/>
            <w:right w:w="108" w:type="dxa"/>
          </w:tblCellMar>
        </w:tblPrEx>
        <w:trPr>
          <w:trHeight w:val="280" w:hRule="atLeast"/>
          <w:jc w:val="center"/>
        </w:trPr>
        <w:tc>
          <w:tcPr>
            <w:tcW w:w="4566" w:type="dxa"/>
            <w:gridSpan w:val="3"/>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ascii="宋体" w:hAnsi="宋体" w:cs="宋体"/>
                <w:color w:val="000000"/>
                <w:kern w:val="0"/>
                <w:sz w:val="22"/>
                <w:szCs w:val="22"/>
              </w:rPr>
              <w:t>预算年度：2023</w:t>
            </w:r>
          </w:p>
        </w:tc>
        <w:tc>
          <w:tcPr>
            <w:tcW w:w="76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87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50" w:type="dxa"/>
            <w:tcBorders>
              <w:top w:val="nil"/>
              <w:left w:val="nil"/>
              <w:bottom w:val="nil"/>
              <w:right w:val="nil"/>
            </w:tcBorders>
            <w:shd w:val="clear" w:color="auto" w:fill="auto"/>
            <w:vAlign w:val="center"/>
          </w:tcPr>
          <w:p>
            <w:pPr>
              <w:jc w:val="center"/>
              <w:rPr>
                <w:rFonts w:ascii="宋体" w:hAnsi="宋体" w:cs="宋体"/>
                <w:color w:val="000000"/>
                <w:sz w:val="18"/>
                <w:szCs w:val="18"/>
              </w:rPr>
            </w:pPr>
          </w:p>
        </w:tc>
        <w:tc>
          <w:tcPr>
            <w:tcW w:w="1799" w:type="dxa"/>
            <w:gridSpan w:val="2"/>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280" w:hRule="atLeast"/>
          <w:jc w:val="center"/>
        </w:trPr>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项目名称</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批复数</w:t>
            </w:r>
          </w:p>
        </w:tc>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绩效目标</w:t>
            </w:r>
          </w:p>
        </w:tc>
        <w:tc>
          <w:tcPr>
            <w:tcW w:w="34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绩效指标</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绩效指标性质</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绩效指标值</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绩效度量单位</w:t>
            </w:r>
          </w:p>
        </w:tc>
      </w:tr>
      <w:tr>
        <w:tblPrEx>
          <w:tblCellMar>
            <w:top w:w="0" w:type="dxa"/>
            <w:left w:w="108" w:type="dxa"/>
            <w:bottom w:w="0" w:type="dxa"/>
            <w:right w:w="108" w:type="dxa"/>
          </w:tblCellMar>
        </w:tblPrEx>
        <w:trPr>
          <w:trHeight w:val="280"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一级指标</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二级指标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三级指标</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560" w:hRule="atLeast"/>
          <w:jc w:val="center"/>
        </w:trPr>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园区管理运行工作经费</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49.00</w:t>
            </w:r>
          </w:p>
        </w:tc>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确保大华工业园区正常工作的运行</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质量指标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工业园区的产值</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3500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万</w:t>
            </w:r>
          </w:p>
        </w:tc>
      </w:tr>
      <w:tr>
        <w:tblPrEx>
          <w:tblCellMar>
            <w:top w:w="0" w:type="dxa"/>
            <w:left w:w="108" w:type="dxa"/>
            <w:bottom w:w="0" w:type="dxa"/>
            <w:right w:w="108" w:type="dxa"/>
          </w:tblCellMar>
        </w:tblPrEx>
        <w:trPr>
          <w:trHeight w:val="560"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社会效益指标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带动就业增长率</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40000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元/户</w:t>
            </w:r>
          </w:p>
        </w:tc>
      </w:tr>
      <w:tr>
        <w:tblPrEx>
          <w:tblCellMar>
            <w:top w:w="0" w:type="dxa"/>
            <w:left w:w="108" w:type="dxa"/>
            <w:bottom w:w="0" w:type="dxa"/>
            <w:right w:w="108" w:type="dxa"/>
          </w:tblCellMar>
        </w:tblPrEx>
        <w:trPr>
          <w:trHeight w:val="1400"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服务对象满意度指标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园区企业对园区管委会服务态度的满意度</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优良中低差</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840" w:hRule="atLeast"/>
          <w:jc w:val="center"/>
        </w:trPr>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园区建设及维修经费</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20.00</w:t>
            </w:r>
          </w:p>
        </w:tc>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确保园区的基础设施建设，园区内规划、环保、等项目的初审及后期管理。编制园区发展规划，确保园区内厂房、公租房、办公楼、等基础建设的及时维修及养护。</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质量指标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确保园区企业的正常运行</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高中低</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60"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生态效益指标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促进可持续发展</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高中低</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840"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服务对象满意度指标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实施企业对园区的满意度</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高中低</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60" w:hRule="atLeast"/>
          <w:jc w:val="center"/>
        </w:trPr>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园区土地使用税及房产税</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17.00</w:t>
            </w:r>
          </w:p>
        </w:tc>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确保按时按规定向国家税务局缴纳土地使用税及房产税。</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质量指标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保质保量达标</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高中低</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元/年</w:t>
            </w:r>
          </w:p>
        </w:tc>
      </w:tr>
      <w:tr>
        <w:tblPrEx>
          <w:tblCellMar>
            <w:top w:w="0" w:type="dxa"/>
            <w:left w:w="108" w:type="dxa"/>
            <w:bottom w:w="0" w:type="dxa"/>
            <w:right w:w="108" w:type="dxa"/>
          </w:tblCellMar>
        </w:tblPrEx>
        <w:trPr>
          <w:trHeight w:val="560"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生态效益指标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促进可持续发展</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高中低</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人数</w:t>
            </w:r>
          </w:p>
        </w:tc>
      </w:tr>
      <w:tr>
        <w:tblPrEx>
          <w:tblCellMar>
            <w:top w:w="0" w:type="dxa"/>
            <w:left w:w="108" w:type="dxa"/>
            <w:bottom w:w="0" w:type="dxa"/>
            <w:right w:w="108" w:type="dxa"/>
          </w:tblCellMar>
        </w:tblPrEx>
        <w:trPr>
          <w:trHeight w:val="840"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服务对象满意度指标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企业对服务对象的满意度</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优良差</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60" w:hRule="atLeast"/>
          <w:jc w:val="center"/>
        </w:trPr>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大华工业园区变电站及输电线路建设项目</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确保园区项目的推进及完工。</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质量指标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工业园区产值</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3500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万</w:t>
            </w:r>
          </w:p>
        </w:tc>
      </w:tr>
      <w:tr>
        <w:tblPrEx>
          <w:tblCellMar>
            <w:top w:w="0" w:type="dxa"/>
            <w:left w:w="108" w:type="dxa"/>
            <w:bottom w:w="0" w:type="dxa"/>
            <w:right w:w="108" w:type="dxa"/>
          </w:tblCellMar>
        </w:tblPrEx>
        <w:trPr>
          <w:trHeight w:val="560"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社会效益指标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带动就业增长率</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40000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元/户</w:t>
            </w:r>
          </w:p>
        </w:tc>
      </w:tr>
      <w:tr>
        <w:tblPrEx>
          <w:tblCellMar>
            <w:top w:w="0" w:type="dxa"/>
            <w:left w:w="108" w:type="dxa"/>
            <w:bottom w:w="0" w:type="dxa"/>
            <w:right w:w="108" w:type="dxa"/>
          </w:tblCellMar>
        </w:tblPrEx>
        <w:trPr>
          <w:trHeight w:val="840"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服务对象满意度指标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企业对服务陶都的满意度</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优中良低差</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60" w:hRule="atLeast"/>
          <w:jc w:val="center"/>
        </w:trPr>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暖取费</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14.00</w:t>
            </w:r>
          </w:p>
        </w:tc>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保障工业园区正常运行</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质量指标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工业园区产值</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3500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万</w:t>
            </w:r>
          </w:p>
        </w:tc>
      </w:tr>
      <w:tr>
        <w:tblPrEx>
          <w:tblCellMar>
            <w:top w:w="0" w:type="dxa"/>
            <w:left w:w="108" w:type="dxa"/>
            <w:bottom w:w="0" w:type="dxa"/>
            <w:right w:w="108" w:type="dxa"/>
          </w:tblCellMar>
        </w:tblPrEx>
        <w:trPr>
          <w:trHeight w:val="560"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经济效益指标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带动园区就业率</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40000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元/户</w:t>
            </w:r>
          </w:p>
        </w:tc>
      </w:tr>
      <w:tr>
        <w:tblPrEx>
          <w:tblCellMar>
            <w:top w:w="0" w:type="dxa"/>
            <w:left w:w="108" w:type="dxa"/>
            <w:bottom w:w="0" w:type="dxa"/>
            <w:right w:w="108" w:type="dxa"/>
          </w:tblCellMar>
        </w:tblPrEx>
        <w:trPr>
          <w:trHeight w:val="1400"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服务对象满意度指标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园区企业对园区管委会服务态度满意度</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优良中低差</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60" w:hRule="atLeast"/>
          <w:jc w:val="center"/>
        </w:trPr>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唐蕃古道旅游景区</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126.00</w:t>
            </w:r>
          </w:p>
        </w:tc>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酒店经营管理，旅游资源开发和经营，组织文化艺术交流活动，会议服务，展览服务，旅游宣传促销策划销售等。</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质量指标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工业园区产值</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6000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万</w:t>
            </w:r>
          </w:p>
        </w:tc>
      </w:tr>
      <w:tr>
        <w:tblPrEx>
          <w:tblCellMar>
            <w:top w:w="0" w:type="dxa"/>
            <w:left w:w="108" w:type="dxa"/>
            <w:bottom w:w="0" w:type="dxa"/>
            <w:right w:w="108" w:type="dxa"/>
          </w:tblCellMar>
        </w:tblPrEx>
        <w:trPr>
          <w:trHeight w:val="560"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社会效益指标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带动就业增长率</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40000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元/户</w:t>
            </w:r>
          </w:p>
        </w:tc>
      </w:tr>
      <w:tr>
        <w:tblPrEx>
          <w:tblCellMar>
            <w:top w:w="0" w:type="dxa"/>
            <w:left w:w="108" w:type="dxa"/>
            <w:bottom w:w="0" w:type="dxa"/>
            <w:right w:w="108" w:type="dxa"/>
          </w:tblCellMar>
        </w:tblPrEx>
        <w:trPr>
          <w:trHeight w:val="840"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服务对象满意度指标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企业对服务对象的满意度</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优良中差</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bl>
    <w:p>
      <w:pPr>
        <w:rPr>
          <w:sz w:val="32"/>
          <w:szCs w:val="32"/>
        </w:rPr>
      </w:pPr>
    </w:p>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其中：一般公共预算拨款收入包括财政部门经费拨款、专项收入、行政事业性收费收入、罚没收入、国有资源（资产）有偿使用收入和其他收入。</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上年结转和结余：</w:t>
      </w:r>
      <w:r>
        <w:rPr>
          <w:rFonts w:ascii="仿宋_GB2312" w:eastAsia="仿宋_GB2312"/>
          <w:sz w:val="32"/>
          <w:szCs w:val="32"/>
        </w:rPr>
        <w:t>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ascii="宋体" w:hAnsi="宋体"/>
          <w:b/>
          <w:sz w:val="32"/>
          <w:szCs w:val="32"/>
        </w:rPr>
      </w:pPr>
      <w:r>
        <w:rPr>
          <w:rFonts w:hint="eastAsia" w:ascii="黑体" w:hAnsi="宋体" w:eastAsia="黑体"/>
          <w:color w:val="000000"/>
          <w:sz w:val="32"/>
          <w:szCs w:val="32"/>
        </w:rPr>
        <w:t>二、支出类</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（三）一般公共预算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rPr>
        <w:t>部门</w:t>
      </w:r>
      <w:r>
        <w:rPr>
          <w:rFonts w:ascii="仿宋_GB2312" w:eastAsia="仿宋_GB2312"/>
          <w:sz w:val="32"/>
          <w:szCs w:val="32"/>
        </w:rPr>
        <w:t>按规定开支的各类公务接待（含外宾接待）支出。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（四）</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rPr>
        <w:t>部门</w:t>
      </w:r>
      <w:r>
        <w:rPr>
          <w:rFonts w:ascii="仿宋_GB2312" w:eastAsia="仿宋_GB2312"/>
          <w:sz w:val="32"/>
          <w:szCs w:val="32"/>
        </w:rPr>
        <w:t>（含参照公务员法管理的事业</w:t>
      </w:r>
      <w:r>
        <w:rPr>
          <w:rFonts w:hint="eastAsia" w:ascii="仿宋_GB2312" w:eastAsia="仿宋_GB2312"/>
          <w:sz w:val="32"/>
          <w:szCs w:val="32"/>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三、支出科目类</w:t>
      </w:r>
    </w:p>
    <w:p>
      <w:pPr>
        <w:ind w:firstLine="643" w:firstLineChars="200"/>
        <w:rPr>
          <w:b/>
          <w:bCs/>
        </w:rPr>
      </w:pPr>
      <w:r>
        <w:rPr>
          <w:rFonts w:hint="eastAsia" w:ascii="仿宋_GB2312" w:eastAsia="仿宋_GB2312"/>
          <w:b/>
          <w:bCs/>
          <w:sz w:val="32"/>
          <w:szCs w:val="32"/>
        </w:rPr>
        <w:t>（一）社会保障和就业支出（类）行政事业单位养老支出（款）机关事业单位基本养老保险缴费支出（项）：</w:t>
      </w:r>
      <w:r>
        <w:rPr>
          <w:rFonts w:hint="eastAsia" w:ascii="仿宋_GB2312" w:eastAsia="仿宋_GB2312"/>
          <w:sz w:val="32"/>
          <w:szCs w:val="32"/>
        </w:rPr>
        <w:t>反映机关事业单位实施养老保险制度由单位缴纳的基本养老保险费支出。</w:t>
      </w:r>
    </w:p>
    <w:p>
      <w:pPr>
        <w:ind w:firstLine="643" w:firstLineChars="200"/>
        <w:rPr>
          <w:b/>
          <w:bCs/>
        </w:rPr>
      </w:pPr>
      <w:r>
        <w:rPr>
          <w:rFonts w:hint="eastAsia" w:ascii="仿宋_GB2312" w:eastAsia="仿宋_GB2312"/>
          <w:b/>
          <w:bCs/>
          <w:sz w:val="32"/>
          <w:szCs w:val="32"/>
        </w:rPr>
        <w:t>（二）社会保障和就业支出（类）行政事业单位养老支出（款）机关事业单位职业年金缴费支出（项）</w:t>
      </w:r>
      <w:r>
        <w:rPr>
          <w:rFonts w:hint="eastAsia" w:ascii="仿宋_GB2312" w:eastAsia="仿宋_GB2312" w:cs="仿宋_GB2312"/>
          <w:b/>
          <w:bCs/>
          <w:sz w:val="32"/>
          <w:szCs w:val="32"/>
        </w:rPr>
        <w:t>：</w:t>
      </w:r>
      <w:r>
        <w:rPr>
          <w:rFonts w:hint="eastAsia" w:ascii="仿宋_GB2312" w:eastAsia="仿宋_GB2312"/>
          <w:sz w:val="32"/>
          <w:szCs w:val="32"/>
        </w:rPr>
        <w:t>反映机关事业单位实施养老保险制度由单位实际缴纳的职业年金支出。</w:t>
      </w:r>
    </w:p>
    <w:p>
      <w:pPr>
        <w:ind w:firstLine="643" w:firstLineChars="200"/>
        <w:rPr>
          <w:b/>
          <w:bCs/>
        </w:rPr>
      </w:pPr>
      <w:r>
        <w:rPr>
          <w:rFonts w:hint="eastAsia" w:ascii="仿宋_GB2312" w:eastAsia="仿宋_GB2312"/>
          <w:b/>
          <w:bCs/>
          <w:sz w:val="32"/>
          <w:szCs w:val="32"/>
        </w:rPr>
        <w:t>（三）卫生健康支出（类）行政事业单位医疗（款）行政单位医疗（项）</w:t>
      </w:r>
      <w:r>
        <w:rPr>
          <w:rFonts w:hint="eastAsia" w:ascii="仿宋_GB2312" w:eastAsia="仿宋_GB2312"/>
          <w:b/>
          <w:sz w:val="32"/>
          <w:szCs w:val="32"/>
        </w:rPr>
        <w:t>：</w:t>
      </w:r>
      <w:r>
        <w:rPr>
          <w:rFonts w:hint="eastAsia" w:ascii="仿宋_GB2312" w:eastAsia="仿宋_GB2312"/>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43" w:firstLineChars="200"/>
        <w:rPr>
          <w:b/>
          <w:bCs/>
        </w:rPr>
      </w:pPr>
      <w:r>
        <w:rPr>
          <w:rFonts w:hint="eastAsia" w:ascii="仿宋_GB2312" w:eastAsia="仿宋_GB2312"/>
          <w:b/>
          <w:bCs/>
          <w:sz w:val="32"/>
          <w:szCs w:val="32"/>
        </w:rPr>
        <w:t>（四）卫生健康支出（类）行政事业单位医疗（款）事业单位医疗（项）：</w:t>
      </w:r>
      <w:r>
        <w:rPr>
          <w:rFonts w:hint="eastAsia" w:ascii="仿宋_GB2312" w:eastAsia="仿宋_GB2312"/>
          <w:sz w:val="32"/>
          <w:szCs w:val="32"/>
        </w:rPr>
        <w:t>反映财政部门安排的事业单位基本医疗保险缴费经费，未参加医疗保险的事业单位的公费医疗经费，按国家规定享受离休人员待遇的医疗经费。</w:t>
      </w:r>
    </w:p>
    <w:p>
      <w:pPr>
        <w:ind w:firstLine="643" w:firstLineChars="200"/>
        <w:rPr>
          <w:b/>
          <w:bCs/>
        </w:rPr>
      </w:pPr>
      <w:r>
        <w:rPr>
          <w:rFonts w:hint="eastAsia" w:ascii="仿宋_GB2312" w:eastAsia="仿宋_GB2312"/>
          <w:b/>
          <w:bCs/>
          <w:sz w:val="32"/>
          <w:szCs w:val="32"/>
        </w:rPr>
        <w:t>（五）卫生健康支出（类）行政事业单位医疗（款）公务员医疗补助（项）：</w:t>
      </w:r>
      <w:r>
        <w:rPr>
          <w:rFonts w:hint="eastAsia" w:ascii="仿宋_GB2312" w:eastAsia="仿宋_GB2312"/>
          <w:sz w:val="32"/>
          <w:szCs w:val="32"/>
        </w:rPr>
        <w:t>反映财政部门安排的公务员医疗补助经费。</w:t>
      </w:r>
    </w:p>
    <w:p>
      <w:pPr>
        <w:ind w:firstLine="643" w:firstLineChars="200"/>
        <w:rPr>
          <w:rFonts w:ascii="仿宋_GB2312" w:eastAsia="仿宋_GB2312"/>
          <w:b/>
          <w:bCs/>
          <w:sz w:val="32"/>
          <w:szCs w:val="32"/>
        </w:rPr>
      </w:pPr>
      <w:r>
        <w:rPr>
          <w:rFonts w:hint="eastAsia" w:ascii="仿宋_GB2312" w:eastAsia="仿宋_GB2312"/>
          <w:b/>
          <w:bCs/>
          <w:sz w:val="32"/>
          <w:szCs w:val="32"/>
        </w:rPr>
        <w:t>（六）社会保障和就业支出（类）行政事业单位养老支出（款）其他行政事业单位养老支出（项）：</w:t>
      </w:r>
      <w:r>
        <w:rPr>
          <w:rFonts w:hint="eastAsia" w:ascii="仿宋_GB2312" w:eastAsia="仿宋_GB2312"/>
          <w:sz w:val="32"/>
          <w:szCs w:val="32"/>
        </w:rPr>
        <w:t>反映除上述项目以外其他用于行政事业单位养老方面的支出。</w:t>
      </w:r>
    </w:p>
    <w:p>
      <w:pPr>
        <w:ind w:firstLine="643" w:firstLineChars="200"/>
        <w:rPr>
          <w:b/>
          <w:bCs/>
        </w:rPr>
      </w:pPr>
      <w:r>
        <w:rPr>
          <w:rFonts w:hint="eastAsia" w:ascii="仿宋_GB2312" w:eastAsia="仿宋_GB2312"/>
          <w:b/>
          <w:bCs/>
          <w:sz w:val="32"/>
          <w:szCs w:val="32"/>
        </w:rPr>
        <w:t>（七）住房保障支出（类）住房改革支出（款）住房公积金（项）：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ind w:firstLine="643" w:firstLineChars="200"/>
        <w:rPr>
          <w:rFonts w:ascii="仿宋_GB2312" w:eastAsia="仿宋_GB2312"/>
          <w:b/>
          <w:bCs/>
          <w:sz w:val="32"/>
          <w:szCs w:val="32"/>
        </w:rPr>
      </w:pPr>
      <w:r>
        <w:rPr>
          <w:rFonts w:hint="eastAsia" w:ascii="仿宋_GB2312" w:eastAsia="仿宋_GB2312"/>
          <w:b/>
          <w:bCs/>
          <w:sz w:val="32"/>
          <w:szCs w:val="32"/>
        </w:rPr>
        <w:t>（八）一般公共服务支出（类）政府办公厅（室）及相关机构事务（款）行政运行（项）：</w:t>
      </w:r>
      <w:r>
        <w:rPr>
          <w:rFonts w:hint="eastAsia" w:ascii="仿宋_GB2312" w:eastAsia="仿宋_GB2312"/>
          <w:sz w:val="32"/>
          <w:szCs w:val="32"/>
        </w:rPr>
        <w:t>反映行政单位（包括实行公务员管理的事业单位）的基本支出。</w:t>
      </w:r>
    </w:p>
    <w:p>
      <w:pPr>
        <w:ind w:firstLine="643" w:firstLineChars="200"/>
        <w:rPr>
          <w:rFonts w:ascii="仿宋_GB2312" w:eastAsia="仿宋_GB2312"/>
          <w:b/>
          <w:bCs/>
          <w:sz w:val="32"/>
          <w:szCs w:val="32"/>
        </w:rPr>
      </w:pPr>
      <w:r>
        <w:rPr>
          <w:rFonts w:hint="eastAsia" w:ascii="仿宋_GB2312" w:eastAsia="仿宋_GB2312"/>
          <w:b/>
          <w:bCs/>
          <w:sz w:val="32"/>
          <w:szCs w:val="32"/>
        </w:rPr>
        <w:t>（九）一般公共服务支出（类）商贸事务（款）行政运行（项）：</w:t>
      </w:r>
      <w:r>
        <w:rPr>
          <w:rFonts w:hint="eastAsia" w:ascii="仿宋_GB2312" w:eastAsia="仿宋_GB2312"/>
          <w:sz w:val="32"/>
          <w:szCs w:val="32"/>
        </w:rPr>
        <w:t>反映行政单位（包括实行公务员管理的事业单位）的基本支出。</w:t>
      </w:r>
    </w:p>
    <w:p>
      <w:pPr>
        <w:ind w:firstLine="643" w:firstLineChars="200"/>
        <w:rPr>
          <w:rFonts w:eastAsia="仿宋_GB2312"/>
        </w:rPr>
      </w:pPr>
      <w:r>
        <w:rPr>
          <w:rFonts w:hint="eastAsia" w:ascii="仿宋_GB2312" w:eastAsia="仿宋_GB2312"/>
          <w:b/>
          <w:bCs/>
          <w:sz w:val="32"/>
          <w:szCs w:val="32"/>
        </w:rPr>
        <w:t>（十）一般公共服务支出（类）商贸事务（款）一般行政管理事务（项）：</w:t>
      </w:r>
      <w:r>
        <w:rPr>
          <w:rFonts w:hint="eastAsia" w:ascii="仿宋_GB2312" w:eastAsia="仿宋_GB2312"/>
          <w:sz w:val="32"/>
          <w:szCs w:val="32"/>
        </w:rPr>
        <w:t>反映行政单位（包括实行公务员管理的事业单位）未单独设置项级科目的其他项目支出。</w:t>
      </w:r>
    </w:p>
    <w:p>
      <w:pPr>
        <w:ind w:firstLine="643" w:firstLineChars="200"/>
        <w:rPr>
          <w:rFonts w:ascii="仿宋_GB2312" w:eastAsia="仿宋_GB2312"/>
          <w:sz w:val="32"/>
          <w:szCs w:val="32"/>
        </w:rPr>
      </w:pPr>
      <w:r>
        <w:rPr>
          <w:rFonts w:hint="eastAsia" w:ascii="仿宋_GB2312" w:eastAsia="仿宋_GB2312"/>
          <w:b/>
          <w:bCs/>
          <w:sz w:val="32"/>
          <w:szCs w:val="32"/>
        </w:rPr>
        <w:t>（十一）文化旅游体育与传媒支出（类）文化和旅游（款）其他文化和旅游支出（项）:</w:t>
      </w:r>
      <w:r>
        <w:rPr>
          <w:rFonts w:hint="eastAsia" w:ascii="仿宋_GB2312" w:eastAsia="仿宋_GB2312"/>
          <w:sz w:val="32"/>
          <w:szCs w:val="32"/>
        </w:rPr>
        <w:t>反映除上述项目以外其他用于文化和旅游方面的支出。</w:t>
      </w:r>
    </w:p>
    <w:p>
      <w:pPr>
        <w:ind w:firstLine="640" w:firstLineChars="200"/>
        <w:rPr>
          <w:rFonts w:ascii="黑体" w:hAnsi="黑体" w:eastAsia="黑体"/>
          <w:sz w:val="32"/>
          <w:szCs w:val="32"/>
        </w:rPr>
      </w:pPr>
      <w:r>
        <w:rPr>
          <w:rFonts w:hint="eastAsia" w:ascii="黑体" w:hAnsi="黑体" w:eastAsia="黑体"/>
          <w:sz w:val="32"/>
          <w:szCs w:val="32"/>
        </w:rPr>
        <w:t>四、部门专业类名词</w:t>
      </w:r>
    </w:p>
    <w:p>
      <w:pPr>
        <w:ind w:firstLine="640" w:firstLineChars="200"/>
        <w:rPr>
          <w:rFonts w:ascii="仿宋_GB2312" w:eastAsia="仿宋_GB2312"/>
          <w:sz w:val="32"/>
          <w:szCs w:val="32"/>
        </w:rPr>
      </w:pPr>
      <w:r>
        <w:rPr>
          <w:rFonts w:hint="eastAsia" w:ascii="仿宋_GB2312" w:eastAsia="仿宋_GB2312"/>
          <w:sz w:val="32"/>
          <w:szCs w:val="32"/>
        </w:rPr>
        <w:t>无</w:t>
      </w:r>
    </w:p>
    <w:sectPr>
      <w:headerReference r:id="rId3" w:type="default"/>
      <w:footerReference r:id="rId4" w:type="default"/>
      <w:footerReference r:id="rId5" w:type="even"/>
      <w:pgSz w:w="11906" w:h="16838"/>
      <w:pgMar w:top="1440" w:right="1531" w:bottom="1440"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3</w:t>
    </w:r>
    <w:r>
      <w:rPr>
        <w:rStyle w:val="7"/>
      </w:rPr>
      <w:fldChar w:fldCharType="end"/>
    </w: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F661CA"/>
    <w:multiLevelType w:val="multilevel"/>
    <w:tmpl w:val="6CF661CA"/>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g0MDcxZWQwMDZhNTQyNWI2NDBlZjQ4NmEyMGY4YWI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E2D21"/>
    <w:rsid w:val="000F5134"/>
    <w:rsid w:val="000F7828"/>
    <w:rsid w:val="001003D0"/>
    <w:rsid w:val="00112781"/>
    <w:rsid w:val="00113D0A"/>
    <w:rsid w:val="00125BF5"/>
    <w:rsid w:val="00132BE0"/>
    <w:rsid w:val="00144223"/>
    <w:rsid w:val="00144744"/>
    <w:rsid w:val="001469F0"/>
    <w:rsid w:val="00146FBE"/>
    <w:rsid w:val="00151EBE"/>
    <w:rsid w:val="001641F0"/>
    <w:rsid w:val="00172A27"/>
    <w:rsid w:val="00177230"/>
    <w:rsid w:val="00180105"/>
    <w:rsid w:val="0018451E"/>
    <w:rsid w:val="00186851"/>
    <w:rsid w:val="0018696D"/>
    <w:rsid w:val="00186DAC"/>
    <w:rsid w:val="00186DD7"/>
    <w:rsid w:val="00191C8F"/>
    <w:rsid w:val="00193483"/>
    <w:rsid w:val="0019620F"/>
    <w:rsid w:val="001B37BE"/>
    <w:rsid w:val="001B4A4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D7A56"/>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0229D"/>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6D52"/>
    <w:rsid w:val="009672B9"/>
    <w:rsid w:val="00973495"/>
    <w:rsid w:val="009744F8"/>
    <w:rsid w:val="00976F94"/>
    <w:rsid w:val="00984314"/>
    <w:rsid w:val="00984DEB"/>
    <w:rsid w:val="0099261D"/>
    <w:rsid w:val="00995CF0"/>
    <w:rsid w:val="009A1C65"/>
    <w:rsid w:val="009A378F"/>
    <w:rsid w:val="009A3BF7"/>
    <w:rsid w:val="009A58C4"/>
    <w:rsid w:val="009A714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01187"/>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63BB"/>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0BC3"/>
    <w:rsid w:val="00DD6C5E"/>
    <w:rsid w:val="00DD6D22"/>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4BCB"/>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6C5C30"/>
    <w:rsid w:val="02AE7397"/>
    <w:rsid w:val="03174F3D"/>
    <w:rsid w:val="033D21D3"/>
    <w:rsid w:val="033F3750"/>
    <w:rsid w:val="03561F09"/>
    <w:rsid w:val="03596737"/>
    <w:rsid w:val="039D18E6"/>
    <w:rsid w:val="03BA365B"/>
    <w:rsid w:val="03BB1D6C"/>
    <w:rsid w:val="03F67248"/>
    <w:rsid w:val="04024FAD"/>
    <w:rsid w:val="041D688F"/>
    <w:rsid w:val="0430275A"/>
    <w:rsid w:val="043C2D23"/>
    <w:rsid w:val="044E0E32"/>
    <w:rsid w:val="04812FB5"/>
    <w:rsid w:val="0486237A"/>
    <w:rsid w:val="048E7480"/>
    <w:rsid w:val="04920E1D"/>
    <w:rsid w:val="04BD38C2"/>
    <w:rsid w:val="04DD4B94"/>
    <w:rsid w:val="04DF7CDC"/>
    <w:rsid w:val="051200B1"/>
    <w:rsid w:val="051931EE"/>
    <w:rsid w:val="05222FB6"/>
    <w:rsid w:val="052A53FB"/>
    <w:rsid w:val="053E0EA6"/>
    <w:rsid w:val="055C132D"/>
    <w:rsid w:val="056F1060"/>
    <w:rsid w:val="0571302A"/>
    <w:rsid w:val="05740424"/>
    <w:rsid w:val="059C06AB"/>
    <w:rsid w:val="05A341D2"/>
    <w:rsid w:val="05C018BB"/>
    <w:rsid w:val="05C220DB"/>
    <w:rsid w:val="05C263D6"/>
    <w:rsid w:val="05CC0260"/>
    <w:rsid w:val="05E01F5E"/>
    <w:rsid w:val="05F81055"/>
    <w:rsid w:val="0612484F"/>
    <w:rsid w:val="06135E8F"/>
    <w:rsid w:val="061A5470"/>
    <w:rsid w:val="062956B3"/>
    <w:rsid w:val="064A5629"/>
    <w:rsid w:val="069A0522"/>
    <w:rsid w:val="06DB44D3"/>
    <w:rsid w:val="06E710CA"/>
    <w:rsid w:val="06EE3BED"/>
    <w:rsid w:val="06FC2DC7"/>
    <w:rsid w:val="07170AD3"/>
    <w:rsid w:val="073360BD"/>
    <w:rsid w:val="073C1416"/>
    <w:rsid w:val="07550B8D"/>
    <w:rsid w:val="075E75DE"/>
    <w:rsid w:val="07645B4A"/>
    <w:rsid w:val="076860A8"/>
    <w:rsid w:val="076D7821"/>
    <w:rsid w:val="079052BE"/>
    <w:rsid w:val="07A62D33"/>
    <w:rsid w:val="07A733F6"/>
    <w:rsid w:val="07C82CA9"/>
    <w:rsid w:val="07CD206E"/>
    <w:rsid w:val="07E35D35"/>
    <w:rsid w:val="08163548"/>
    <w:rsid w:val="08391ED2"/>
    <w:rsid w:val="089716ED"/>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E75B3C"/>
    <w:rsid w:val="0AE95411"/>
    <w:rsid w:val="0AF344E1"/>
    <w:rsid w:val="0AFD2C6A"/>
    <w:rsid w:val="0AFD318D"/>
    <w:rsid w:val="0B9335CE"/>
    <w:rsid w:val="0BBF43C3"/>
    <w:rsid w:val="0BE718B9"/>
    <w:rsid w:val="0C1666D9"/>
    <w:rsid w:val="0C33338D"/>
    <w:rsid w:val="0C3837AD"/>
    <w:rsid w:val="0C461B4F"/>
    <w:rsid w:val="0CB620EA"/>
    <w:rsid w:val="0CBF274A"/>
    <w:rsid w:val="0CE83E39"/>
    <w:rsid w:val="0D10137A"/>
    <w:rsid w:val="0D103128"/>
    <w:rsid w:val="0D190642"/>
    <w:rsid w:val="0D1F15BD"/>
    <w:rsid w:val="0D347D03"/>
    <w:rsid w:val="0D4C7ED9"/>
    <w:rsid w:val="0E193301"/>
    <w:rsid w:val="0E2447F1"/>
    <w:rsid w:val="0EB9334C"/>
    <w:rsid w:val="0EE02A09"/>
    <w:rsid w:val="0EF30338"/>
    <w:rsid w:val="0EF820C6"/>
    <w:rsid w:val="0F0C3167"/>
    <w:rsid w:val="0F1B23BF"/>
    <w:rsid w:val="0F4E7F7D"/>
    <w:rsid w:val="0F5D63CD"/>
    <w:rsid w:val="0F9D0EBF"/>
    <w:rsid w:val="0FBC2FF0"/>
    <w:rsid w:val="0FDF10D4"/>
    <w:rsid w:val="0FEB5787"/>
    <w:rsid w:val="107734BE"/>
    <w:rsid w:val="107C6D27"/>
    <w:rsid w:val="10915F18"/>
    <w:rsid w:val="10A51DDA"/>
    <w:rsid w:val="10CA42ED"/>
    <w:rsid w:val="10D26947"/>
    <w:rsid w:val="10D60A11"/>
    <w:rsid w:val="10D91A83"/>
    <w:rsid w:val="10F20D97"/>
    <w:rsid w:val="111C6472"/>
    <w:rsid w:val="11276C93"/>
    <w:rsid w:val="11963E18"/>
    <w:rsid w:val="11B06C88"/>
    <w:rsid w:val="11FC011F"/>
    <w:rsid w:val="12402145"/>
    <w:rsid w:val="12525F91"/>
    <w:rsid w:val="126B2BAF"/>
    <w:rsid w:val="12AD31C8"/>
    <w:rsid w:val="12B46304"/>
    <w:rsid w:val="12F232D0"/>
    <w:rsid w:val="132D60B6"/>
    <w:rsid w:val="13315BA7"/>
    <w:rsid w:val="13675B6C"/>
    <w:rsid w:val="13815343"/>
    <w:rsid w:val="138A3509"/>
    <w:rsid w:val="13936AB9"/>
    <w:rsid w:val="13983E78"/>
    <w:rsid w:val="13A10F83"/>
    <w:rsid w:val="13AB531F"/>
    <w:rsid w:val="13AF2F6F"/>
    <w:rsid w:val="14264FE0"/>
    <w:rsid w:val="142B6A9A"/>
    <w:rsid w:val="14357918"/>
    <w:rsid w:val="145C4EA5"/>
    <w:rsid w:val="14717BEF"/>
    <w:rsid w:val="14A405FA"/>
    <w:rsid w:val="14B52807"/>
    <w:rsid w:val="14C10AEB"/>
    <w:rsid w:val="14D25941"/>
    <w:rsid w:val="14E76E65"/>
    <w:rsid w:val="15080666"/>
    <w:rsid w:val="1509227B"/>
    <w:rsid w:val="15145780"/>
    <w:rsid w:val="156F29B6"/>
    <w:rsid w:val="159266A5"/>
    <w:rsid w:val="15B773A6"/>
    <w:rsid w:val="15CF16A7"/>
    <w:rsid w:val="15D346A7"/>
    <w:rsid w:val="15EA028F"/>
    <w:rsid w:val="16041DC2"/>
    <w:rsid w:val="160937DE"/>
    <w:rsid w:val="16A058AD"/>
    <w:rsid w:val="16BF796D"/>
    <w:rsid w:val="17711442"/>
    <w:rsid w:val="178D1819"/>
    <w:rsid w:val="179E54C0"/>
    <w:rsid w:val="17C84600"/>
    <w:rsid w:val="17F65611"/>
    <w:rsid w:val="17F71F10"/>
    <w:rsid w:val="182038E0"/>
    <w:rsid w:val="185540E5"/>
    <w:rsid w:val="18602A8A"/>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FF1621"/>
    <w:rsid w:val="1A165AF6"/>
    <w:rsid w:val="1A591713"/>
    <w:rsid w:val="1A915957"/>
    <w:rsid w:val="1A951111"/>
    <w:rsid w:val="1A9C424D"/>
    <w:rsid w:val="1AA71539"/>
    <w:rsid w:val="1AC35C7E"/>
    <w:rsid w:val="1AC47317"/>
    <w:rsid w:val="1B0F2F7A"/>
    <w:rsid w:val="1B1C0ED8"/>
    <w:rsid w:val="1B2A0D10"/>
    <w:rsid w:val="1B387E5A"/>
    <w:rsid w:val="1B8448F8"/>
    <w:rsid w:val="1BB67591"/>
    <w:rsid w:val="1BD3623E"/>
    <w:rsid w:val="1BE539D2"/>
    <w:rsid w:val="1BF15446"/>
    <w:rsid w:val="1C2D0D45"/>
    <w:rsid w:val="1C76487C"/>
    <w:rsid w:val="1C784475"/>
    <w:rsid w:val="1CDA7AC0"/>
    <w:rsid w:val="1CDC4DD5"/>
    <w:rsid w:val="1CDD0B4D"/>
    <w:rsid w:val="1CF7709A"/>
    <w:rsid w:val="1D2624F4"/>
    <w:rsid w:val="1D47530C"/>
    <w:rsid w:val="1D57445C"/>
    <w:rsid w:val="1D714363"/>
    <w:rsid w:val="1D752B34"/>
    <w:rsid w:val="1D9643E8"/>
    <w:rsid w:val="1DA67191"/>
    <w:rsid w:val="1DCC31FE"/>
    <w:rsid w:val="1DF83E91"/>
    <w:rsid w:val="1E2A152E"/>
    <w:rsid w:val="1E320A25"/>
    <w:rsid w:val="1E366767"/>
    <w:rsid w:val="1E4075E6"/>
    <w:rsid w:val="1E5D33B2"/>
    <w:rsid w:val="1E8C45D9"/>
    <w:rsid w:val="1ECF44C6"/>
    <w:rsid w:val="1ED57D2E"/>
    <w:rsid w:val="1EE6018D"/>
    <w:rsid w:val="1EE937D9"/>
    <w:rsid w:val="1F57E50F"/>
    <w:rsid w:val="1F585875"/>
    <w:rsid w:val="1F6248B1"/>
    <w:rsid w:val="1F7532BF"/>
    <w:rsid w:val="1F7C464D"/>
    <w:rsid w:val="1FBE4C66"/>
    <w:rsid w:val="1FC63B1B"/>
    <w:rsid w:val="1FE76146"/>
    <w:rsid w:val="200D34F7"/>
    <w:rsid w:val="206E3DD0"/>
    <w:rsid w:val="20846DB3"/>
    <w:rsid w:val="20A06C94"/>
    <w:rsid w:val="20A26336"/>
    <w:rsid w:val="20D2147C"/>
    <w:rsid w:val="20EA55E7"/>
    <w:rsid w:val="210261A6"/>
    <w:rsid w:val="210A7A37"/>
    <w:rsid w:val="21156B08"/>
    <w:rsid w:val="21785657"/>
    <w:rsid w:val="218E0668"/>
    <w:rsid w:val="21D73DBD"/>
    <w:rsid w:val="22A7378F"/>
    <w:rsid w:val="22CA56D0"/>
    <w:rsid w:val="22EE7610"/>
    <w:rsid w:val="23020B9B"/>
    <w:rsid w:val="23563407"/>
    <w:rsid w:val="2369043B"/>
    <w:rsid w:val="23D83E1C"/>
    <w:rsid w:val="23F171DD"/>
    <w:rsid w:val="24013373"/>
    <w:rsid w:val="241035B6"/>
    <w:rsid w:val="24173588"/>
    <w:rsid w:val="248400FD"/>
    <w:rsid w:val="24BB5C18"/>
    <w:rsid w:val="24D52712"/>
    <w:rsid w:val="24F744DF"/>
    <w:rsid w:val="250255F5"/>
    <w:rsid w:val="2504136D"/>
    <w:rsid w:val="25216B98"/>
    <w:rsid w:val="2522492D"/>
    <w:rsid w:val="25347FF8"/>
    <w:rsid w:val="255B3E43"/>
    <w:rsid w:val="25627E42"/>
    <w:rsid w:val="25AE3087"/>
    <w:rsid w:val="25B20DC9"/>
    <w:rsid w:val="25DE2FF9"/>
    <w:rsid w:val="25EE5B79"/>
    <w:rsid w:val="25F90E12"/>
    <w:rsid w:val="260B672B"/>
    <w:rsid w:val="2628108B"/>
    <w:rsid w:val="26A56376"/>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A598B"/>
    <w:rsid w:val="287A36F4"/>
    <w:rsid w:val="28920A3E"/>
    <w:rsid w:val="28A8476E"/>
    <w:rsid w:val="28D86FE0"/>
    <w:rsid w:val="28EB0DF4"/>
    <w:rsid w:val="28EC45F2"/>
    <w:rsid w:val="290B498A"/>
    <w:rsid w:val="29422464"/>
    <w:rsid w:val="299965AB"/>
    <w:rsid w:val="29CB06AB"/>
    <w:rsid w:val="29DC2957"/>
    <w:rsid w:val="2A9D2EAF"/>
    <w:rsid w:val="2ADF44BC"/>
    <w:rsid w:val="2B24409F"/>
    <w:rsid w:val="2B3D7387"/>
    <w:rsid w:val="2B467F3F"/>
    <w:rsid w:val="2B681F2A"/>
    <w:rsid w:val="2BA411B4"/>
    <w:rsid w:val="2BA84A00"/>
    <w:rsid w:val="2BAA0794"/>
    <w:rsid w:val="2BAF1907"/>
    <w:rsid w:val="2BBE7D9C"/>
    <w:rsid w:val="2BD2547C"/>
    <w:rsid w:val="2C165AE7"/>
    <w:rsid w:val="2C4633EA"/>
    <w:rsid w:val="2C862667"/>
    <w:rsid w:val="2C9F2793"/>
    <w:rsid w:val="2CB82A3D"/>
    <w:rsid w:val="2CC80ED2"/>
    <w:rsid w:val="2CD812B0"/>
    <w:rsid w:val="2D0A3299"/>
    <w:rsid w:val="2D142369"/>
    <w:rsid w:val="2D1660E1"/>
    <w:rsid w:val="2D4F33A1"/>
    <w:rsid w:val="2D5F7AEE"/>
    <w:rsid w:val="2D7C1CBC"/>
    <w:rsid w:val="2D9C6C0D"/>
    <w:rsid w:val="2DCE076A"/>
    <w:rsid w:val="2DF61A6F"/>
    <w:rsid w:val="2E2A34C6"/>
    <w:rsid w:val="2E5D1AEE"/>
    <w:rsid w:val="2E7E2FE0"/>
    <w:rsid w:val="2EA944D2"/>
    <w:rsid w:val="2EBF2578"/>
    <w:rsid w:val="2EF35057"/>
    <w:rsid w:val="2F0A0548"/>
    <w:rsid w:val="2F0B32F8"/>
    <w:rsid w:val="2F4B1762"/>
    <w:rsid w:val="2F511653"/>
    <w:rsid w:val="2F5C639F"/>
    <w:rsid w:val="2F666780"/>
    <w:rsid w:val="2FB13EB5"/>
    <w:rsid w:val="2FE029D7"/>
    <w:rsid w:val="30074904"/>
    <w:rsid w:val="300A1801"/>
    <w:rsid w:val="300E30A0"/>
    <w:rsid w:val="30A92DC8"/>
    <w:rsid w:val="30B15BC1"/>
    <w:rsid w:val="30E47124"/>
    <w:rsid w:val="3119625B"/>
    <w:rsid w:val="31524179"/>
    <w:rsid w:val="31741628"/>
    <w:rsid w:val="317E4255"/>
    <w:rsid w:val="318B6972"/>
    <w:rsid w:val="319121DA"/>
    <w:rsid w:val="31A041CB"/>
    <w:rsid w:val="31D16A7B"/>
    <w:rsid w:val="31EF0CAF"/>
    <w:rsid w:val="32035783"/>
    <w:rsid w:val="32186458"/>
    <w:rsid w:val="322A7F39"/>
    <w:rsid w:val="324D69E2"/>
    <w:rsid w:val="32625925"/>
    <w:rsid w:val="32966AE3"/>
    <w:rsid w:val="33223F5B"/>
    <w:rsid w:val="333C1DAF"/>
    <w:rsid w:val="33420075"/>
    <w:rsid w:val="33705886"/>
    <w:rsid w:val="337E22EA"/>
    <w:rsid w:val="33A4500D"/>
    <w:rsid w:val="33F15215"/>
    <w:rsid w:val="341669C7"/>
    <w:rsid w:val="34221BAB"/>
    <w:rsid w:val="342310E4"/>
    <w:rsid w:val="342804A8"/>
    <w:rsid w:val="34574ACF"/>
    <w:rsid w:val="34666500"/>
    <w:rsid w:val="3485379F"/>
    <w:rsid w:val="349C5FC1"/>
    <w:rsid w:val="34C05684"/>
    <w:rsid w:val="34C839CB"/>
    <w:rsid w:val="35301D0A"/>
    <w:rsid w:val="354E7C5B"/>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9F0A81"/>
    <w:rsid w:val="379F6CD3"/>
    <w:rsid w:val="37C93D50"/>
    <w:rsid w:val="37DE05C8"/>
    <w:rsid w:val="37EE4E6A"/>
    <w:rsid w:val="37F75570"/>
    <w:rsid w:val="38185412"/>
    <w:rsid w:val="3832028F"/>
    <w:rsid w:val="384855BD"/>
    <w:rsid w:val="38A8605B"/>
    <w:rsid w:val="38F90665"/>
    <w:rsid w:val="38FF5DE7"/>
    <w:rsid w:val="394C4C39"/>
    <w:rsid w:val="39836BEC"/>
    <w:rsid w:val="398D772B"/>
    <w:rsid w:val="39A44A75"/>
    <w:rsid w:val="39B35AC2"/>
    <w:rsid w:val="39D87059"/>
    <w:rsid w:val="39E76FAA"/>
    <w:rsid w:val="3A1C0AAF"/>
    <w:rsid w:val="3A5C534F"/>
    <w:rsid w:val="3A667F7C"/>
    <w:rsid w:val="3AC151B3"/>
    <w:rsid w:val="3AE57819"/>
    <w:rsid w:val="3AF85078"/>
    <w:rsid w:val="3B253993"/>
    <w:rsid w:val="3B2E2848"/>
    <w:rsid w:val="3B2F4FC9"/>
    <w:rsid w:val="3B626996"/>
    <w:rsid w:val="3B653D90"/>
    <w:rsid w:val="3BEE2461"/>
    <w:rsid w:val="3C292100"/>
    <w:rsid w:val="3C3E2DF0"/>
    <w:rsid w:val="3C552955"/>
    <w:rsid w:val="3C664263"/>
    <w:rsid w:val="3C667DC0"/>
    <w:rsid w:val="3C7613D4"/>
    <w:rsid w:val="3CEF6007"/>
    <w:rsid w:val="3D0A4BEF"/>
    <w:rsid w:val="3D4445A5"/>
    <w:rsid w:val="3D6C7658"/>
    <w:rsid w:val="3D704D42"/>
    <w:rsid w:val="3D8F1791"/>
    <w:rsid w:val="3D9F4236"/>
    <w:rsid w:val="3DBB586E"/>
    <w:rsid w:val="3DFE308E"/>
    <w:rsid w:val="3E043D34"/>
    <w:rsid w:val="3E3B41B2"/>
    <w:rsid w:val="3E416D36"/>
    <w:rsid w:val="3E436887"/>
    <w:rsid w:val="3E72001C"/>
    <w:rsid w:val="3E7802D0"/>
    <w:rsid w:val="3E823B0A"/>
    <w:rsid w:val="3EB23790"/>
    <w:rsid w:val="3ECC2B23"/>
    <w:rsid w:val="3EF7239A"/>
    <w:rsid w:val="3F1B30E3"/>
    <w:rsid w:val="3F4A21FD"/>
    <w:rsid w:val="3F6525B0"/>
    <w:rsid w:val="3F6C3694"/>
    <w:rsid w:val="3F7C2A78"/>
    <w:rsid w:val="3F7D3D9E"/>
    <w:rsid w:val="3F934A87"/>
    <w:rsid w:val="3FCF2120"/>
    <w:rsid w:val="3FDD6F27"/>
    <w:rsid w:val="3FEA0D08"/>
    <w:rsid w:val="402971CE"/>
    <w:rsid w:val="402B55A8"/>
    <w:rsid w:val="403F5BFA"/>
    <w:rsid w:val="4047615A"/>
    <w:rsid w:val="40583EC3"/>
    <w:rsid w:val="40D519B8"/>
    <w:rsid w:val="40DE086C"/>
    <w:rsid w:val="40E81285"/>
    <w:rsid w:val="419A2DBD"/>
    <w:rsid w:val="41E2613A"/>
    <w:rsid w:val="42445FBE"/>
    <w:rsid w:val="42650575"/>
    <w:rsid w:val="42700A46"/>
    <w:rsid w:val="4281555E"/>
    <w:rsid w:val="42930BD6"/>
    <w:rsid w:val="43000F6E"/>
    <w:rsid w:val="430B346F"/>
    <w:rsid w:val="43140575"/>
    <w:rsid w:val="43210EE4"/>
    <w:rsid w:val="432A62D3"/>
    <w:rsid w:val="433C5D1E"/>
    <w:rsid w:val="4350530C"/>
    <w:rsid w:val="43BB4117"/>
    <w:rsid w:val="43C27FD1"/>
    <w:rsid w:val="43D67F21"/>
    <w:rsid w:val="440A59E9"/>
    <w:rsid w:val="44412933"/>
    <w:rsid w:val="445D5F4C"/>
    <w:rsid w:val="446A2417"/>
    <w:rsid w:val="44703ED1"/>
    <w:rsid w:val="44B32010"/>
    <w:rsid w:val="44D04970"/>
    <w:rsid w:val="44EF1C2A"/>
    <w:rsid w:val="456311BE"/>
    <w:rsid w:val="45857508"/>
    <w:rsid w:val="45A100BA"/>
    <w:rsid w:val="45C00171"/>
    <w:rsid w:val="45C54E48"/>
    <w:rsid w:val="45D1274E"/>
    <w:rsid w:val="45E16FF2"/>
    <w:rsid w:val="45E216A1"/>
    <w:rsid w:val="46933EA7"/>
    <w:rsid w:val="469F0913"/>
    <w:rsid w:val="46AC58E1"/>
    <w:rsid w:val="4723522B"/>
    <w:rsid w:val="47411B55"/>
    <w:rsid w:val="4760647F"/>
    <w:rsid w:val="47CB42B8"/>
    <w:rsid w:val="47F210A1"/>
    <w:rsid w:val="47F41D83"/>
    <w:rsid w:val="48226D7F"/>
    <w:rsid w:val="482C45B3"/>
    <w:rsid w:val="483E7E42"/>
    <w:rsid w:val="48894852"/>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D01551"/>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C66ED"/>
    <w:rsid w:val="4C50191A"/>
    <w:rsid w:val="4C692F12"/>
    <w:rsid w:val="4C990922"/>
    <w:rsid w:val="4CBB4158"/>
    <w:rsid w:val="4CCF550D"/>
    <w:rsid w:val="4D235A67"/>
    <w:rsid w:val="4D237E1F"/>
    <w:rsid w:val="4D29404E"/>
    <w:rsid w:val="4D7178A9"/>
    <w:rsid w:val="4D8C0AFD"/>
    <w:rsid w:val="4DA62712"/>
    <w:rsid w:val="4DDD4434"/>
    <w:rsid w:val="4E173610"/>
    <w:rsid w:val="4E2118E3"/>
    <w:rsid w:val="4E265601"/>
    <w:rsid w:val="4E4F6905"/>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CF01D2"/>
    <w:rsid w:val="50CF1F80"/>
    <w:rsid w:val="50D46B08"/>
    <w:rsid w:val="50FA629D"/>
    <w:rsid w:val="511646DB"/>
    <w:rsid w:val="513F7105"/>
    <w:rsid w:val="516F72BF"/>
    <w:rsid w:val="517A1653"/>
    <w:rsid w:val="517E2B19"/>
    <w:rsid w:val="517E430A"/>
    <w:rsid w:val="51C27D36"/>
    <w:rsid w:val="5202788D"/>
    <w:rsid w:val="52302EF2"/>
    <w:rsid w:val="523072B3"/>
    <w:rsid w:val="524644C3"/>
    <w:rsid w:val="52691F60"/>
    <w:rsid w:val="528462EE"/>
    <w:rsid w:val="529E01D6"/>
    <w:rsid w:val="52B94C95"/>
    <w:rsid w:val="52BE405A"/>
    <w:rsid w:val="52D7511B"/>
    <w:rsid w:val="535B1F07"/>
    <w:rsid w:val="5382152B"/>
    <w:rsid w:val="53B316E5"/>
    <w:rsid w:val="53C75190"/>
    <w:rsid w:val="54446A80"/>
    <w:rsid w:val="54622056"/>
    <w:rsid w:val="54776BB6"/>
    <w:rsid w:val="548457F1"/>
    <w:rsid w:val="549F0B68"/>
    <w:rsid w:val="54AB5BF1"/>
    <w:rsid w:val="54AB6860"/>
    <w:rsid w:val="550A7A2A"/>
    <w:rsid w:val="550F5041"/>
    <w:rsid w:val="55472A2C"/>
    <w:rsid w:val="554C0043"/>
    <w:rsid w:val="55546EF7"/>
    <w:rsid w:val="55CC0ABE"/>
    <w:rsid w:val="5606196D"/>
    <w:rsid w:val="56494582"/>
    <w:rsid w:val="566B0279"/>
    <w:rsid w:val="568775D5"/>
    <w:rsid w:val="568E4899"/>
    <w:rsid w:val="574C75CB"/>
    <w:rsid w:val="57713D91"/>
    <w:rsid w:val="57727B09"/>
    <w:rsid w:val="578A30A4"/>
    <w:rsid w:val="579E26AC"/>
    <w:rsid w:val="57D26DC6"/>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B64468"/>
    <w:rsid w:val="5BCD22B6"/>
    <w:rsid w:val="5BD41FC1"/>
    <w:rsid w:val="5BF907F8"/>
    <w:rsid w:val="5C237623"/>
    <w:rsid w:val="5CAC7619"/>
    <w:rsid w:val="5CB169DD"/>
    <w:rsid w:val="5D096819"/>
    <w:rsid w:val="5D135E9A"/>
    <w:rsid w:val="5D4F5F4A"/>
    <w:rsid w:val="5DB9023F"/>
    <w:rsid w:val="5DCD5A99"/>
    <w:rsid w:val="5DD82F19"/>
    <w:rsid w:val="5DEC4171"/>
    <w:rsid w:val="5E180F16"/>
    <w:rsid w:val="5E9F11E3"/>
    <w:rsid w:val="5EA70098"/>
    <w:rsid w:val="5EB278C9"/>
    <w:rsid w:val="5EDF7832"/>
    <w:rsid w:val="5EE71275"/>
    <w:rsid w:val="5EF17565"/>
    <w:rsid w:val="5EFF1C82"/>
    <w:rsid w:val="5F183046"/>
    <w:rsid w:val="5F3F4774"/>
    <w:rsid w:val="5F582B88"/>
    <w:rsid w:val="5F85510A"/>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7970BB"/>
    <w:rsid w:val="61EE47DE"/>
    <w:rsid w:val="61F74CB9"/>
    <w:rsid w:val="61FA2BD4"/>
    <w:rsid w:val="61FF2350"/>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53D3504"/>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75C06"/>
    <w:rsid w:val="693D1D24"/>
    <w:rsid w:val="694806C9"/>
    <w:rsid w:val="69DA187A"/>
    <w:rsid w:val="69E228CC"/>
    <w:rsid w:val="6A102F95"/>
    <w:rsid w:val="6A1E49EE"/>
    <w:rsid w:val="6A1F58CE"/>
    <w:rsid w:val="6A386990"/>
    <w:rsid w:val="6A517800"/>
    <w:rsid w:val="6A733988"/>
    <w:rsid w:val="6A80346D"/>
    <w:rsid w:val="6A84252C"/>
    <w:rsid w:val="6B2667E8"/>
    <w:rsid w:val="6B2E7D36"/>
    <w:rsid w:val="6B317667"/>
    <w:rsid w:val="6B39651C"/>
    <w:rsid w:val="6B454EC0"/>
    <w:rsid w:val="6B4A697B"/>
    <w:rsid w:val="6B511AB7"/>
    <w:rsid w:val="6B8A321B"/>
    <w:rsid w:val="6BBF1117"/>
    <w:rsid w:val="6BD808EE"/>
    <w:rsid w:val="6BF60B14"/>
    <w:rsid w:val="6C142268"/>
    <w:rsid w:val="6C182A5D"/>
    <w:rsid w:val="6C3C4515"/>
    <w:rsid w:val="6C3F3D03"/>
    <w:rsid w:val="6C45090D"/>
    <w:rsid w:val="6C783074"/>
    <w:rsid w:val="6C906CD0"/>
    <w:rsid w:val="6C9F2F49"/>
    <w:rsid w:val="6CCC34A0"/>
    <w:rsid w:val="6CD01102"/>
    <w:rsid w:val="6CD81D64"/>
    <w:rsid w:val="6CEB1A97"/>
    <w:rsid w:val="6CF070AE"/>
    <w:rsid w:val="6D056FFD"/>
    <w:rsid w:val="6D140FEE"/>
    <w:rsid w:val="6D1C7EA3"/>
    <w:rsid w:val="6D3715F0"/>
    <w:rsid w:val="6D45284C"/>
    <w:rsid w:val="6D610768"/>
    <w:rsid w:val="6D947B2D"/>
    <w:rsid w:val="6DEF510F"/>
    <w:rsid w:val="6E0049EA"/>
    <w:rsid w:val="6E205AC9"/>
    <w:rsid w:val="6E2711F5"/>
    <w:rsid w:val="6E6765D2"/>
    <w:rsid w:val="6E7361E8"/>
    <w:rsid w:val="6EB34837"/>
    <w:rsid w:val="6EEB3447"/>
    <w:rsid w:val="6EF536BE"/>
    <w:rsid w:val="6EF966EE"/>
    <w:rsid w:val="6F165DD9"/>
    <w:rsid w:val="6F204B98"/>
    <w:rsid w:val="6F213E96"/>
    <w:rsid w:val="6F2B261F"/>
    <w:rsid w:val="6F4E16D7"/>
    <w:rsid w:val="6F814935"/>
    <w:rsid w:val="6FAD71DC"/>
    <w:rsid w:val="6FB9606E"/>
    <w:rsid w:val="6FD40F09"/>
    <w:rsid w:val="6FD607DD"/>
    <w:rsid w:val="6FF664A7"/>
    <w:rsid w:val="7007308C"/>
    <w:rsid w:val="70281CF1"/>
    <w:rsid w:val="70425E72"/>
    <w:rsid w:val="705160B5"/>
    <w:rsid w:val="707F6E74"/>
    <w:rsid w:val="709C4DBC"/>
    <w:rsid w:val="70A24B63"/>
    <w:rsid w:val="71283BDB"/>
    <w:rsid w:val="713F0604"/>
    <w:rsid w:val="715F1BDC"/>
    <w:rsid w:val="71673246"/>
    <w:rsid w:val="71704AAF"/>
    <w:rsid w:val="71705FC9"/>
    <w:rsid w:val="71A65242"/>
    <w:rsid w:val="71D71024"/>
    <w:rsid w:val="72281098"/>
    <w:rsid w:val="72282CA4"/>
    <w:rsid w:val="7238752D"/>
    <w:rsid w:val="72541E8D"/>
    <w:rsid w:val="7258372B"/>
    <w:rsid w:val="726102B7"/>
    <w:rsid w:val="72E6342D"/>
    <w:rsid w:val="72FA2A34"/>
    <w:rsid w:val="7318735E"/>
    <w:rsid w:val="733F2B3D"/>
    <w:rsid w:val="734E35CA"/>
    <w:rsid w:val="735C724B"/>
    <w:rsid w:val="735FDFD4"/>
    <w:rsid w:val="738C2E7A"/>
    <w:rsid w:val="74033B6B"/>
    <w:rsid w:val="741527AA"/>
    <w:rsid w:val="74507BFC"/>
    <w:rsid w:val="74824CA6"/>
    <w:rsid w:val="74862DDB"/>
    <w:rsid w:val="74866CC7"/>
    <w:rsid w:val="749E5641"/>
    <w:rsid w:val="74A76831"/>
    <w:rsid w:val="74AA0C93"/>
    <w:rsid w:val="74B549A6"/>
    <w:rsid w:val="74DF0134"/>
    <w:rsid w:val="752D5343"/>
    <w:rsid w:val="75353045"/>
    <w:rsid w:val="75457920"/>
    <w:rsid w:val="754D1541"/>
    <w:rsid w:val="75501031"/>
    <w:rsid w:val="757A4300"/>
    <w:rsid w:val="75994786"/>
    <w:rsid w:val="759E1D9D"/>
    <w:rsid w:val="75CF4FA6"/>
    <w:rsid w:val="75F6612F"/>
    <w:rsid w:val="76176804"/>
    <w:rsid w:val="761B33ED"/>
    <w:rsid w:val="76530DD9"/>
    <w:rsid w:val="766703E1"/>
    <w:rsid w:val="76724FD8"/>
    <w:rsid w:val="76870A83"/>
    <w:rsid w:val="76A038F3"/>
    <w:rsid w:val="76C361D8"/>
    <w:rsid w:val="76FD6F97"/>
    <w:rsid w:val="770F2826"/>
    <w:rsid w:val="77381D7D"/>
    <w:rsid w:val="773A3199"/>
    <w:rsid w:val="77510F5D"/>
    <w:rsid w:val="776B2153"/>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A1A1C0E"/>
    <w:rsid w:val="7A481563"/>
    <w:rsid w:val="7A490C32"/>
    <w:rsid w:val="7A4E42C3"/>
    <w:rsid w:val="7A5275FA"/>
    <w:rsid w:val="7A603AC5"/>
    <w:rsid w:val="7A684727"/>
    <w:rsid w:val="7AA5772A"/>
    <w:rsid w:val="7AA716F4"/>
    <w:rsid w:val="7AFD1314"/>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60D99"/>
    <w:rsid w:val="7CE352DA"/>
    <w:rsid w:val="7D031D4D"/>
    <w:rsid w:val="7D0746CC"/>
    <w:rsid w:val="7D28412D"/>
    <w:rsid w:val="7D474AC8"/>
    <w:rsid w:val="7D4C20DE"/>
    <w:rsid w:val="7D621902"/>
    <w:rsid w:val="7D715FE9"/>
    <w:rsid w:val="7D9D0B8C"/>
    <w:rsid w:val="7DDA593C"/>
    <w:rsid w:val="7E6C1E82"/>
    <w:rsid w:val="7E7E09BD"/>
    <w:rsid w:val="7EA128FE"/>
    <w:rsid w:val="7EA6685A"/>
    <w:rsid w:val="7EBC79B7"/>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link w:val="2"/>
    <w:semiHidden/>
    <w:qFormat/>
    <w:uiPriority w:val="99"/>
    <w:rPr>
      <w:rFonts w:ascii="Times New Roman" w:hAnsi="Times New Roman"/>
      <w:kern w:val="2"/>
      <w:sz w:val="18"/>
      <w:szCs w:val="18"/>
    </w:rPr>
  </w:style>
  <w:style w:type="character" w:customStyle="1" w:styleId="9">
    <w:name w:val="页脚 Char"/>
    <w:link w:val="3"/>
    <w:qFormat/>
    <w:uiPriority w:val="99"/>
    <w:rPr>
      <w:rFonts w:ascii="Times New Roman" w:hAnsi="Times New Roman"/>
      <w:kern w:val="2"/>
      <w:sz w:val="18"/>
      <w:szCs w:val="18"/>
    </w:rPr>
  </w:style>
  <w:style w:type="character" w:customStyle="1" w:styleId="10">
    <w:name w:val="页眉 Char"/>
    <w:link w:val="4"/>
    <w:qFormat/>
    <w:uiPriority w:val="99"/>
    <w:rPr>
      <w:rFonts w:ascii="Times New Roman" w:hAnsi="Times New Roman"/>
      <w:kern w:val="2"/>
      <w:sz w:val="18"/>
      <w:szCs w:val="18"/>
    </w:rPr>
  </w:style>
  <w:style w:type="paragraph" w:styleId="11">
    <w:name w:val="List Paragraph"/>
    <w:basedOn w:val="1"/>
    <w:qFormat/>
    <w:uiPriority w:val="34"/>
    <w:pPr>
      <w:ind w:firstLine="420" w:firstLineChars="200"/>
    </w:pPr>
  </w:style>
  <w:style w:type="paragraph" w:styleId="12">
    <w:name w:val="No Spacing"/>
    <w:link w:val="13"/>
    <w:qFormat/>
    <w:uiPriority w:val="0"/>
    <w:rPr>
      <w:rFonts w:ascii="Calibri" w:hAnsi="Calibri" w:eastAsia="宋体" w:cs="Times New Roman"/>
      <w:sz w:val="22"/>
      <w:szCs w:val="22"/>
      <w:lang w:val="en-US" w:eastAsia="zh-CN" w:bidi="ar-SA"/>
    </w:rPr>
  </w:style>
  <w:style w:type="character" w:customStyle="1" w:styleId="13">
    <w:name w:val="无间隔 Char"/>
    <w:link w:val="12"/>
    <w:qFormat/>
    <w:uiPriority w:val="0"/>
    <w:rPr>
      <w:sz w:val="22"/>
      <w:szCs w:val="22"/>
      <w:lang w:bidi="ar-SA"/>
    </w:rPr>
  </w:style>
  <w:style w:type="paragraph" w:customStyle="1" w:styleId="14">
    <w:name w:val="正文1"/>
    <w:basedOn w:val="1"/>
    <w:qFormat/>
    <w:uiPriority w:val="0"/>
    <w:pPr>
      <w:widowControl/>
    </w:pPr>
    <w:rPr>
      <w:rFonts w:eastAsia="Times New Roman"/>
      <w:kern w:val="0"/>
      <w:lang w:val="zh-CN"/>
    </w:rPr>
  </w:style>
  <w:style w:type="character" w:customStyle="1" w:styleId="15">
    <w:name w:val="font7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7690</Words>
  <Characters>9432</Characters>
  <Lines>79</Lines>
  <Paragraphs>22</Paragraphs>
  <TotalTime>13</TotalTime>
  <ScaleCrop>false</ScaleCrop>
  <LinksUpToDate>false</LinksUpToDate>
  <CharactersWithSpaces>9566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2023-06-05T03:29:00Z</dcterms:created>
  <dc:creator>王炜(部门内部人)</dc:creator>
  <cp:lastModifiedBy>上官瑞</cp:lastModifiedBy>
  <cp:lastPrinted>2021-01-31T19:43:00Z</cp:lastPrinted>
  <dcterms:modified xsi:type="dcterms:W3CDTF">2023-06-06T07:41:00Z</dcterms:modified>
  <dc:title>×××部门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276D4567F96949F5B1DBDC56161C928B_13</vt:lpwstr>
  </property>
</Properties>
</file>