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hint="eastAsia" w:ascii="Cambria" w:hAnsi="Cambria"/>
                <w:b/>
                <w:sz w:val="80"/>
                <w:szCs w:val="80"/>
                <w:lang w:val="en-US" w:eastAsia="zh-CN"/>
              </w:rPr>
            </w:pPr>
            <w:r>
              <w:rPr>
                <w:rFonts w:hint="eastAsia" w:ascii="Cambria" w:hAnsi="Cambria"/>
                <w:b/>
                <w:sz w:val="80"/>
                <w:szCs w:val="80"/>
                <w:lang w:val="en-US" w:eastAsia="zh-CN"/>
              </w:rPr>
              <w:t>湟源县发展和改革局</w:t>
            </w:r>
          </w:p>
          <w:p>
            <w:pPr>
              <w:pStyle w:val="12"/>
              <w:jc w:val="center"/>
              <w:rPr>
                <w:rFonts w:ascii="Cambria" w:hAnsi="Cambria"/>
                <w:b/>
                <w:sz w:val="80"/>
                <w:szCs w:val="80"/>
              </w:rPr>
            </w:pPr>
            <w:r>
              <w:rPr>
                <w:rFonts w:hint="eastAsia" w:ascii="Cambria" w:hAnsi="Cambria"/>
                <w:b/>
                <w:sz w:val="80"/>
                <w:szCs w:val="80"/>
                <w:lang w:val="en-US" w:eastAsia="zh-CN"/>
              </w:rPr>
              <w:t>（本级）</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一）贯彻执行国家和省、市有关国民经济、社会发展和商务、科技工作的方针政策和法律法规；拟订国民经济、商务、科技和社会发展发展规划和年度发展计划并组织实施；提出国民经济发展、价格总水平调控、优化经济结构、新型工业化发展、优化产业布局、融入丝绸之路经济带建设、现代流通方式发展和商务体制机制改革的目标及建议；受县政府委托向县人大提交国民经济和社会发展计划的报告。</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（二）负责经济运行的监测和经济发展趋势的预测、预警并提出建议，发布经济信息；编制利用外资计划，监测分析利用外资趋势；负责社会信用体系建设工作。</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（三）承担推进经济体制改革的责任。负责经济体制改革。</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（四）承担建设项目和生产力布局的责任；提出固定资产投资总规模；监督管理政府投资项目；指导和监督政策性贷款和外资的使用；引导民间投资的方向；负责建设项目的招投标监督管理和重大项目稽察工作。</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五）协调第一、二、三产业发展中的重大问题并衔接平衡相关发展规划，做好与国民经济社会发展规划、计划的衔接平衡；分析经济和城镇化发展情况，提出经济发展、重点基础设施建设、生态环境建设、资源开发利用以及重大项目建设建议。</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（六）提出经济与社会协调发展、相互促进的建议，执行人口发展规划及人口政策；参与拟定教育、文化、卫生、民政等发展规划，参与提出促进就业、完善收入分配体制和社会保障制度的政策建议。</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（七）执行价格政策，监测预测价格水平变动，提出价格总水平调控目标，执行政府定价目录内的重要商品及服务价格和收费标准，依法查处价格违法行为。</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（八）负责节能减排的综合协调工作，组织拟订发展循环经济政策措施并负责实施，会同有关部门编制生态建设规划，协调生态建设和资源节约综合利用的重大问题。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（九）负责粮食市场管理，维护正常的粮食流通秩序；加强和改善粮食宏观调控，确保粮食安全。</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（十）承办县政府交办的其他事项。</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年度</w:t>
      </w:r>
      <w:r>
        <w:rPr>
          <w:rFonts w:hint="eastAsia" w:ascii="仿宋_GB2312" w:eastAsia="仿宋_GB2312"/>
          <w:sz w:val="32"/>
          <w:szCs w:val="32"/>
          <w:lang w:val="en-US" w:eastAsia="zh-CN"/>
        </w:rPr>
        <w:t>预</w:t>
      </w:r>
      <w:r>
        <w:rPr>
          <w:rFonts w:hint="eastAsia" w:ascii="仿宋_GB2312" w:eastAsia="仿宋_GB2312"/>
          <w:sz w:val="32"/>
          <w:szCs w:val="32"/>
        </w:rPr>
        <w:t>算编制范围包括</w:t>
      </w:r>
      <w:r>
        <w:rPr>
          <w:rFonts w:hint="eastAsia" w:ascii="仿宋_GB2312" w:eastAsia="仿宋_GB2312"/>
          <w:sz w:val="32"/>
          <w:szCs w:val="32"/>
          <w:lang w:val="en-US" w:eastAsia="zh-CN"/>
        </w:rPr>
        <w:t>本</w:t>
      </w:r>
      <w:r>
        <w:rPr>
          <w:rFonts w:hint="eastAsia" w:ascii="仿宋_GB2312" w:eastAsia="仿宋_GB2312"/>
          <w:sz w:val="32"/>
          <w:szCs w:val="32"/>
        </w:rPr>
        <w:t>级预算单位1个</w:t>
      </w:r>
      <w:r>
        <w:rPr>
          <w:rFonts w:hint="eastAsia" w:ascii="仿宋_GB2312" w:eastAsia="仿宋_GB2312"/>
          <w:sz w:val="32"/>
          <w:szCs w:val="32"/>
          <w:lang w:eastAsia="zh-CN"/>
        </w:rPr>
        <w:t>，</w:t>
      </w:r>
      <w:r>
        <w:rPr>
          <w:rFonts w:hint="eastAsia" w:ascii="仿宋_GB2312" w:eastAsia="仿宋_GB2312"/>
          <w:sz w:val="32"/>
          <w:szCs w:val="32"/>
          <w:lang w:val="en-US" w:eastAsia="zh-CN"/>
        </w:rPr>
        <w:t>设重点项目办、价格认证中心、电商科室。</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pStyle w:val="12"/>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rPr>
        <w:t>纳入</w:t>
      </w:r>
      <w:r>
        <w:rPr>
          <w:rFonts w:hint="eastAsia" w:ascii="仿宋_GB2312" w:hAnsi="Times New Roman" w:eastAsia="仿宋_GB2312" w:cs="Times New Roman"/>
          <w:kern w:val="2"/>
          <w:sz w:val="32"/>
          <w:szCs w:val="32"/>
          <w:lang w:val="en-US" w:eastAsia="zh-CN" w:bidi="ar-SA"/>
        </w:rPr>
        <w:t>湟源县发展和改革局（本级）部门</w:t>
      </w:r>
      <w:r>
        <w:rPr>
          <w:rFonts w:hint="eastAsia" w:ascii="仿宋_GB2312" w:eastAsia="仿宋_GB2312"/>
          <w:sz w:val="32"/>
          <w:szCs w:val="32"/>
          <w:lang w:val="en-US" w:eastAsia="zh-CN"/>
        </w:rPr>
        <w:t>202</w:t>
      </w:r>
      <w:r>
        <w:rPr>
          <w:rFonts w:hint="eastAsia" w:ascii="仿宋_GB2312" w:hAnsi="Times New Roman" w:eastAsia="仿宋_GB2312" w:cs="Times New Roman"/>
          <w:kern w:val="2"/>
          <w:sz w:val="32"/>
          <w:szCs w:val="32"/>
          <w:lang w:val="en-US" w:eastAsia="zh-CN" w:bidi="ar-SA"/>
        </w:rPr>
        <w:t>3年</w:t>
      </w:r>
      <w:r>
        <w:rPr>
          <w:rFonts w:hint="eastAsia" w:ascii="仿宋_GB2312" w:eastAsia="仿宋_GB2312"/>
          <w:sz w:val="32"/>
          <w:szCs w:val="32"/>
        </w:rPr>
        <w:t>预算编制范围的二级预算</w:t>
      </w:r>
      <w:r>
        <w:rPr>
          <w:rFonts w:hint="eastAsia" w:ascii="仿宋_GB2312" w:eastAsia="仿宋_GB2312"/>
          <w:sz w:val="32"/>
          <w:szCs w:val="32"/>
          <w:lang w:eastAsia="zh-CN"/>
        </w:rPr>
        <w:t>部门</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1806.17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1148.15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219.37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96.33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67.32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1806.17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1931.17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125.00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1931.17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1931.17</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1931.17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125.00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1806.17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湟源县发展和改革局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1931.17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125.00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1806.17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湟源县发展和改革局（本级）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1931.17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125.00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1806.17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575" w:type="dxa"/>
        <w:jc w:val="center"/>
        <w:tblLayout w:type="fixed"/>
        <w:tblCellMar>
          <w:top w:w="0" w:type="dxa"/>
          <w:left w:w="108" w:type="dxa"/>
          <w:bottom w:w="0" w:type="dxa"/>
          <w:right w:w="108" w:type="dxa"/>
        </w:tblCellMar>
      </w:tblPr>
      <w:tblGrid>
        <w:gridCol w:w="1100"/>
        <w:gridCol w:w="4264"/>
        <w:gridCol w:w="1035"/>
        <w:gridCol w:w="1035"/>
        <w:gridCol w:w="1035"/>
        <w:gridCol w:w="1035"/>
        <w:gridCol w:w="1035"/>
        <w:gridCol w:w="1036"/>
      </w:tblGrid>
      <w:tr>
        <w:tblPrEx>
          <w:tblCellMar>
            <w:top w:w="0" w:type="dxa"/>
            <w:left w:w="108" w:type="dxa"/>
            <w:bottom w:w="0" w:type="dxa"/>
            <w:right w:w="108" w:type="dxa"/>
          </w:tblCellMar>
        </w:tblPrEx>
        <w:trPr>
          <w:trHeight w:val="187" w:hRule="atLeast"/>
          <w:jc w:val="center"/>
        </w:trPr>
        <w:tc>
          <w:tcPr>
            <w:tcW w:w="1157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7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7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36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1931.17</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1073.17</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858.00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1148.15</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690.15</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458.00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20104</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发展与改革事务</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1148.15</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690.15</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458.00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2010401</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1123.15</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690.15</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2010499</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其他发展与改革事务支出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219.37</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219.37</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217.14</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217.14</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71.43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71.43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35.72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35.72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96.33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96.33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96.33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96.33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44.83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44.83</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18.01</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18.01</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33.49</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33.49</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巩固脱贫攻坚成果衔接乡村振兴</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2130599</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其他巩固脱贫攻坚成果衔接乡村振兴支出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商业服务业等支出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商业流通事务</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2160299</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其他商业流通事务支出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100.00</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67.32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67.32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67.32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67.32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26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67.32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67.32</w:t>
            </w: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925"/>
        <w:gridCol w:w="1892"/>
        <w:gridCol w:w="1219"/>
        <w:gridCol w:w="1247"/>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52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1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4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7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1806.17</w:t>
            </w: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1931.17</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1931.17</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1806.17</w:t>
            </w: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1148.15</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1148.15</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219.37</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219.37</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96.33</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96.33</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100.00</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100.00</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67.32</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67.32</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125.00</w:t>
            </w: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125.00</w:t>
            </w:r>
          </w:p>
        </w:tc>
        <w:tc>
          <w:tcPr>
            <w:tcW w:w="1892" w:type="dxa"/>
            <w:shd w:val="clear" w:color="auto" w:fill="FFFFFF"/>
            <w:noWrap/>
            <w:vAlign w:val="center"/>
          </w:tcPr>
          <w:p>
            <w:pPr>
              <w:widowControl/>
              <w:jc w:val="left"/>
              <w:rPr>
                <w:rFonts w:ascii="宋体" w:hAnsi="宋体" w:cs="宋体"/>
                <w:kern w:val="0"/>
                <w:sz w:val="20"/>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25" w:type="dxa"/>
            <w:shd w:val="clear" w:color="auto" w:fill="FFFFFF"/>
            <w:noWrap/>
            <w:vAlign w:val="center"/>
          </w:tcPr>
          <w:p>
            <w:pPr>
              <w:widowControl/>
              <w:jc w:val="center"/>
              <w:rPr>
                <w:rFonts w:ascii="宋体" w:hAnsi="宋体" w:cs="宋体"/>
                <w:kern w:val="0"/>
                <w:sz w:val="20"/>
              </w:rPr>
            </w:pPr>
          </w:p>
        </w:tc>
        <w:tc>
          <w:tcPr>
            <w:tcW w:w="1892" w:type="dxa"/>
            <w:shd w:val="clear" w:color="auto" w:fill="FFFFFF"/>
            <w:noWrap/>
            <w:vAlign w:val="center"/>
          </w:tcPr>
          <w:p>
            <w:pPr>
              <w:widowControl/>
              <w:jc w:val="left"/>
              <w:rPr>
                <w:rFonts w:ascii="宋体" w:hAnsi="宋体" w:cs="宋体"/>
                <w:kern w:val="0"/>
                <w:sz w:val="20"/>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1931.17</w:t>
            </w:r>
          </w:p>
        </w:tc>
        <w:tc>
          <w:tcPr>
            <w:tcW w:w="18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1931.17</w:t>
            </w:r>
          </w:p>
        </w:tc>
        <w:tc>
          <w:tcPr>
            <w:tcW w:w="124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1931.17</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4064"/>
        <w:gridCol w:w="1298"/>
        <w:gridCol w:w="1298"/>
        <w:gridCol w:w="130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31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38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40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2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40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31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1806.17</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1073.17</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733.00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1123.15</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690.15</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发展与改革事务</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1123.15</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690.15</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1123.15</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690.15</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219.37</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219.37</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217.14</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217.14</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71.43</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71.43</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35.72</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35.72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110.00</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110.00</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96.33</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96.33</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96.33</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96.33</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44.83</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44.83</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18.01</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18.01</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33.49</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33.49</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300.00</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巩固脱贫攻坚成果衔接乡村振兴</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300.00</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其他巩固脱贫攻坚成果衔接乡村振兴支出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300.00</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67.32</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67.32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67.32</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67.32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67.32</w:t>
            </w:r>
          </w:p>
        </w:tc>
        <w:tc>
          <w:tcPr>
            <w:tcW w:w="12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67.32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146" w:type="dxa"/>
        <w:jc w:val="center"/>
        <w:tblLayout w:type="fixed"/>
        <w:tblCellMar>
          <w:top w:w="0" w:type="dxa"/>
          <w:left w:w="108" w:type="dxa"/>
          <w:bottom w:w="0" w:type="dxa"/>
          <w:right w:w="108" w:type="dxa"/>
        </w:tblCellMar>
      </w:tblPr>
      <w:tblGrid>
        <w:gridCol w:w="650"/>
        <w:gridCol w:w="650"/>
        <w:gridCol w:w="3281"/>
        <w:gridCol w:w="2221"/>
        <w:gridCol w:w="2221"/>
        <w:gridCol w:w="2123"/>
      </w:tblGrid>
      <w:tr>
        <w:tblPrEx>
          <w:tblCellMar>
            <w:top w:w="0" w:type="dxa"/>
            <w:left w:w="108" w:type="dxa"/>
            <w:bottom w:w="0" w:type="dxa"/>
            <w:right w:w="108" w:type="dxa"/>
          </w:tblCellMar>
        </w:tblPrEx>
        <w:trPr>
          <w:trHeight w:val="264" w:hRule="atLeast"/>
          <w:jc w:val="center"/>
        </w:trPr>
        <w:tc>
          <w:tcPr>
            <w:tcW w:w="11146"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637" w:hRule="atLeast"/>
          <w:jc w:val="center"/>
        </w:trPr>
        <w:tc>
          <w:tcPr>
            <w:tcW w:w="11146"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211" w:hRule="atLeast"/>
          <w:jc w:val="center"/>
        </w:trPr>
        <w:tc>
          <w:tcPr>
            <w:tcW w:w="11146"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55" w:hRule="atLeast"/>
          <w:jc w:val="center"/>
        </w:trPr>
        <w:tc>
          <w:tcPr>
            <w:tcW w:w="45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56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03"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235"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58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1073.17</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1029.65</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43.52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884.05</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884.05</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168.77</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168.77</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195.73</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195.73</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66.68</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66.68</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166.07</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166.07</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71.43</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71.43</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35.72</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35.72</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27.24</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27.24</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33.49</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33.49</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67.32</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67.32</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49.38</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49.38</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43.52</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4.84</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咨询费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4.40</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3.96</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8.38</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9.56</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4.78</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145.60</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145.60</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108.31</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108.31</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35.60</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35.60</w:t>
            </w: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对企业补助</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其他对企业补助</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2.32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1.32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湟源县发展和改革局（本级）2023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湟源县发展和改革局（本级）</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一般公共预算拨款收入1806.17万元，上年结转125.00万元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一般公共服务支出1148.15万元，社会保障和就业支出219.37万元，卫生健康支出96.33万元，农林水支出300.00万元，商业服务业等支出100.00万元，住房保障支出67.32万元</w:t>
      </w:r>
      <w:r>
        <w:rPr>
          <w:rFonts w:hint="eastAsia" w:ascii="仿宋_GB2312" w:eastAsia="仿宋_GB2312"/>
          <w:sz w:val="32"/>
          <w:szCs w:val="32"/>
        </w:rPr>
        <w:t>。</w:t>
      </w: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年收支总预算</w:t>
      </w:r>
      <w:r>
        <w:rPr>
          <w:rFonts w:hint="eastAsia" w:ascii="仿宋_GB2312" w:eastAsia="仿宋_GB2312"/>
          <w:sz w:val="32"/>
          <w:szCs w:val="32"/>
          <w:lang w:val="en-US" w:eastAsia="zh-CN"/>
        </w:rPr>
        <w:t>1931.17</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湟源县发展和改革局（本级）2023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年收入预算</w:t>
      </w:r>
      <w:r>
        <w:rPr>
          <w:rFonts w:hint="eastAsia" w:ascii="仿宋_GB2312" w:eastAsia="仿宋_GB2312"/>
          <w:sz w:val="32"/>
          <w:szCs w:val="32"/>
          <w:lang w:val="en-US" w:eastAsia="zh-CN"/>
        </w:rPr>
        <w:t>1931.17</w:t>
      </w:r>
      <w:r>
        <w:rPr>
          <w:rFonts w:hint="eastAsia" w:ascii="仿宋_GB2312" w:eastAsia="仿宋_GB2312"/>
          <w:sz w:val="32"/>
          <w:szCs w:val="32"/>
        </w:rPr>
        <w:t>万元，其中：</w:t>
      </w:r>
      <w:r>
        <w:rPr>
          <w:rFonts w:hint="eastAsia" w:ascii="仿宋_GB2312" w:eastAsia="仿宋_GB2312"/>
          <w:sz w:val="32"/>
          <w:szCs w:val="32"/>
          <w:lang w:val="en-US" w:eastAsia="zh-CN"/>
        </w:rPr>
        <w:t>上年结转125.00万元，占6.47%；一般公共预算拨款收入1806.17万元，占93.53%</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0.6pt;width:349.1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湟源县发展和改革局（本级）2023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年支出预算</w:t>
      </w:r>
      <w:r>
        <w:rPr>
          <w:rFonts w:hint="eastAsia" w:ascii="仿宋_GB2312" w:eastAsia="仿宋_GB2312"/>
          <w:sz w:val="32"/>
          <w:szCs w:val="32"/>
          <w:lang w:val="en-US" w:eastAsia="zh-CN"/>
        </w:rPr>
        <w:t>1931.17</w:t>
      </w:r>
      <w:r>
        <w:rPr>
          <w:rFonts w:hint="eastAsia" w:ascii="仿宋_GB2312" w:eastAsia="仿宋_GB2312"/>
          <w:sz w:val="32"/>
          <w:szCs w:val="32"/>
        </w:rPr>
        <w:t>万元，其中：</w:t>
      </w:r>
      <w:r>
        <w:rPr>
          <w:rFonts w:hint="eastAsia" w:ascii="仿宋_GB2312" w:eastAsia="仿宋_GB2312"/>
          <w:sz w:val="32"/>
          <w:szCs w:val="32"/>
          <w:lang w:val="en-US" w:eastAsia="zh-CN"/>
        </w:rPr>
        <w:t>基本支出1073.17万元，占55.57%；项目支出858.00万元，占44.43%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3.05pt;width:35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湟源县发展和改革局（本级）2023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1931.17</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增加98.42</w:t>
      </w:r>
      <w:r>
        <w:rPr>
          <w:rFonts w:hint="eastAsia" w:ascii="仿宋_GB2312" w:eastAsia="仿宋_GB2312"/>
          <w:sz w:val="32"/>
          <w:szCs w:val="32"/>
        </w:rPr>
        <w:t>万元，主要</w:t>
      </w:r>
      <w:r>
        <w:rPr>
          <w:rFonts w:hint="eastAsia" w:ascii="仿宋_GB2312" w:eastAsia="仿宋_GB2312"/>
          <w:sz w:val="32"/>
          <w:szCs w:val="32"/>
          <w:lang w:val="en-US" w:eastAsia="zh-CN"/>
        </w:rPr>
        <w:t>是由于机构改革，单位合并，工信局合于发改局，预算收入增加。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一般公共预算拨款收入1806.17万元，上年结转125.00万元；政府性基金预算拨款收入0.00万元，上年结转0.00万元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一般公共服务支出1148.15万元， 社会保障和就业支出219.37万元， 卫生健康支出96.33万元， 农林水支出300.00万元， 商业服务业等支出100.00万元， 住房保障支出67.32万元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1.8pt;width:351.7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湟源县发展和改革局（本级）2023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1806.17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增加435.12</w:t>
      </w:r>
      <w:r>
        <w:rPr>
          <w:rFonts w:hint="eastAsia" w:ascii="仿宋_GB2312" w:eastAsia="仿宋_GB2312"/>
          <w:sz w:val="32"/>
          <w:szCs w:val="32"/>
        </w:rPr>
        <w:t>万元，主要</w:t>
      </w:r>
      <w:r>
        <w:rPr>
          <w:rFonts w:hint="eastAsia" w:ascii="仿宋_GB2312" w:eastAsia="仿宋_GB2312"/>
          <w:sz w:val="32"/>
          <w:szCs w:val="32"/>
          <w:lang w:val="en-US" w:eastAsia="zh-CN"/>
        </w:rPr>
        <w:t>是由于机构改革，单位合并，工信局合并于发改局，加之事业人员调动增加，一般公共预算收入增加。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6.4pt;width:340.4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一般公共服务支出1123.15万元，占62.18%；社会保障和就业支出219.37万元，占12.15%；卫生健康支出96.33万元，占5.33%；农林水支出300.00万元，占16.61%；住房保障支出67.32万元，占3.73%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1.95pt;width:352.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发展与改革事务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1123.15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增加99.88</w:t>
      </w:r>
      <w:r>
        <w:rPr>
          <w:rFonts w:hint="eastAsia" w:ascii="仿宋_GB2312" w:eastAsia="仿宋_GB2312"/>
          <w:sz w:val="32"/>
          <w:szCs w:val="32"/>
        </w:rPr>
        <w:t>万元，</w:t>
      </w:r>
      <w:r>
        <w:rPr>
          <w:rFonts w:hint="eastAsia" w:ascii="仿宋_GB2312" w:eastAsia="仿宋_GB2312"/>
          <w:sz w:val="32"/>
          <w:szCs w:val="32"/>
          <w:lang w:val="en-US" w:eastAsia="zh-CN"/>
        </w:rPr>
        <w:t>增长9.76</w:t>
      </w:r>
      <w:r>
        <w:rPr>
          <w:rFonts w:hint="eastAsia" w:ascii="仿宋_GB2312" w:eastAsia="仿宋_GB2312"/>
          <w:sz w:val="32"/>
          <w:szCs w:val="32"/>
        </w:rPr>
        <w:t>%。主要</w:t>
      </w:r>
      <w:r>
        <w:rPr>
          <w:rFonts w:hint="eastAsia" w:ascii="仿宋_GB2312" w:eastAsia="仿宋_GB2312"/>
          <w:sz w:val="32"/>
          <w:szCs w:val="32"/>
          <w:lang w:val="en-US" w:eastAsia="zh-CN"/>
        </w:rPr>
        <w:t>是由于机构改革，单位合并，工信局合并于发改局，加之事业人员调动增加，一般公共服务支出类预算增加。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71.43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增加13.53</w:t>
      </w:r>
      <w:r>
        <w:rPr>
          <w:rFonts w:hint="eastAsia" w:ascii="仿宋_GB2312" w:eastAsia="仿宋_GB2312"/>
          <w:sz w:val="32"/>
          <w:szCs w:val="32"/>
        </w:rPr>
        <w:t>万元，</w:t>
      </w:r>
      <w:r>
        <w:rPr>
          <w:rFonts w:hint="eastAsia" w:ascii="仿宋_GB2312" w:eastAsia="仿宋_GB2312"/>
          <w:sz w:val="32"/>
          <w:szCs w:val="32"/>
          <w:lang w:val="en-US" w:eastAsia="zh-CN"/>
        </w:rPr>
        <w:t>增长23.37</w:t>
      </w:r>
      <w:r>
        <w:rPr>
          <w:rFonts w:hint="eastAsia" w:ascii="仿宋_GB2312" w:eastAsia="仿宋_GB2312"/>
          <w:sz w:val="32"/>
          <w:szCs w:val="32"/>
        </w:rPr>
        <w:t>%。主要</w:t>
      </w:r>
      <w:r>
        <w:rPr>
          <w:rFonts w:hint="eastAsia" w:ascii="仿宋_GB2312" w:eastAsia="仿宋_GB2312"/>
          <w:sz w:val="32"/>
          <w:szCs w:val="32"/>
          <w:lang w:val="en-US" w:eastAsia="zh-CN"/>
        </w:rPr>
        <w:t>是由于机构改革，单位合并，工信局合并于发改局，加之事业人员调动增加，社会保障和就业支出类养老缴费预算增加。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35.72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增加6.77</w:t>
      </w:r>
      <w:r>
        <w:rPr>
          <w:rFonts w:hint="eastAsia" w:ascii="仿宋_GB2312" w:eastAsia="仿宋_GB2312"/>
          <w:sz w:val="32"/>
          <w:szCs w:val="32"/>
        </w:rPr>
        <w:t>万元，</w:t>
      </w:r>
      <w:r>
        <w:rPr>
          <w:rFonts w:hint="eastAsia" w:ascii="仿宋_GB2312" w:eastAsia="仿宋_GB2312"/>
          <w:sz w:val="32"/>
          <w:szCs w:val="32"/>
          <w:lang w:val="en-US" w:eastAsia="zh-CN"/>
        </w:rPr>
        <w:t>增长23.39</w:t>
      </w:r>
      <w:r>
        <w:rPr>
          <w:rFonts w:hint="eastAsia" w:ascii="仿宋_GB2312" w:eastAsia="仿宋_GB2312"/>
          <w:sz w:val="32"/>
          <w:szCs w:val="32"/>
        </w:rPr>
        <w:t>%。主要</w:t>
      </w:r>
      <w:r>
        <w:rPr>
          <w:rFonts w:hint="eastAsia" w:ascii="仿宋_GB2312" w:eastAsia="仿宋_GB2312"/>
          <w:sz w:val="32"/>
          <w:szCs w:val="32"/>
          <w:lang w:val="en-US" w:eastAsia="zh-CN"/>
        </w:rPr>
        <w:t>是由于机构改革，单位合并，工信局合并于发改局，加之事业人员调动增加，社会保障和就业支出类职业年金缴费预算增加。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增加4.88</w:t>
      </w:r>
      <w:r>
        <w:rPr>
          <w:rFonts w:hint="eastAsia" w:ascii="仿宋_GB2312" w:eastAsia="仿宋_GB2312"/>
          <w:sz w:val="32"/>
          <w:szCs w:val="32"/>
        </w:rPr>
        <w:t>万元，</w:t>
      </w:r>
      <w:r>
        <w:rPr>
          <w:rFonts w:hint="eastAsia" w:ascii="仿宋_GB2312" w:eastAsia="仿宋_GB2312"/>
          <w:sz w:val="32"/>
          <w:szCs w:val="32"/>
          <w:lang w:val="en-US" w:eastAsia="zh-CN"/>
        </w:rPr>
        <w:t>增长4.64</w:t>
      </w:r>
      <w:r>
        <w:rPr>
          <w:rFonts w:hint="eastAsia" w:ascii="仿宋_GB2312" w:eastAsia="仿宋_GB2312"/>
          <w:sz w:val="32"/>
          <w:szCs w:val="32"/>
        </w:rPr>
        <w:t>%。主要</w:t>
      </w:r>
      <w:r>
        <w:rPr>
          <w:rFonts w:hint="eastAsia" w:ascii="仿宋_GB2312" w:eastAsia="仿宋_GB2312"/>
          <w:sz w:val="32"/>
          <w:szCs w:val="32"/>
          <w:lang w:val="en-US" w:eastAsia="zh-CN"/>
        </w:rPr>
        <w:t>是由于机构改革，单位合并，工信局合并于发改局，加之事业人员调动增加，社会保障和就业支出类养老支出预算增加。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增加0.05</w:t>
      </w:r>
      <w:r>
        <w:rPr>
          <w:rFonts w:hint="eastAsia" w:ascii="仿宋_GB2312" w:eastAsia="仿宋_GB2312"/>
          <w:sz w:val="32"/>
          <w:szCs w:val="32"/>
        </w:rPr>
        <w:t>万元，</w:t>
      </w:r>
      <w:r>
        <w:rPr>
          <w:rFonts w:hint="eastAsia" w:ascii="仿宋_GB2312" w:eastAsia="仿宋_GB2312"/>
          <w:sz w:val="32"/>
          <w:szCs w:val="32"/>
          <w:lang w:val="en-US" w:eastAsia="zh-CN"/>
        </w:rPr>
        <w:t>增长2.30</w:t>
      </w:r>
      <w:r>
        <w:rPr>
          <w:rFonts w:hint="eastAsia" w:ascii="仿宋_GB2312" w:eastAsia="仿宋_GB2312"/>
          <w:sz w:val="32"/>
          <w:szCs w:val="32"/>
        </w:rPr>
        <w:t>%。主要</w:t>
      </w:r>
      <w:r>
        <w:rPr>
          <w:rFonts w:hint="eastAsia" w:ascii="仿宋_GB2312" w:eastAsia="仿宋_GB2312"/>
          <w:sz w:val="32"/>
          <w:szCs w:val="32"/>
          <w:lang w:val="en-US" w:eastAsia="zh-CN"/>
        </w:rPr>
        <w:t>是由于机构改革，单位合并，工信局合并于发改局，加之事业人员调动增加，社会保障和就业支出类其他社会保障就业支出预算增加。</w:t>
      </w:r>
    </w:p>
    <w:p>
      <w:pPr>
        <w:ind w:firstLine="645"/>
        <w:rPr>
          <w:rFonts w:hint="default"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减少3.07</w:t>
      </w:r>
      <w:r>
        <w:rPr>
          <w:rFonts w:hint="eastAsia" w:ascii="仿宋_GB2312" w:eastAsia="仿宋_GB2312"/>
          <w:sz w:val="32"/>
          <w:szCs w:val="32"/>
        </w:rPr>
        <w:t>万元，</w:t>
      </w:r>
      <w:r>
        <w:rPr>
          <w:rFonts w:hint="eastAsia" w:ascii="仿宋_GB2312" w:eastAsia="仿宋_GB2312"/>
          <w:sz w:val="32"/>
          <w:szCs w:val="32"/>
          <w:lang w:val="en-US" w:eastAsia="zh-CN"/>
        </w:rPr>
        <w:t>下降6.41</w:t>
      </w:r>
      <w:r>
        <w:rPr>
          <w:rFonts w:hint="eastAsia" w:ascii="仿宋_GB2312" w:eastAsia="仿宋_GB2312"/>
          <w:sz w:val="32"/>
          <w:szCs w:val="32"/>
        </w:rPr>
        <w:t>%。</w:t>
      </w:r>
      <w:r>
        <w:rPr>
          <w:rFonts w:hint="eastAsia" w:ascii="仿宋_GB2312" w:eastAsia="仿宋_GB2312"/>
          <w:sz w:val="32"/>
          <w:szCs w:val="32"/>
          <w:lang w:val="en-US" w:eastAsia="zh-CN"/>
        </w:rPr>
        <w:t>主要原因是行政人员调出增加，故此款项预算较上年减少。</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增加1.41</w:t>
      </w:r>
      <w:r>
        <w:rPr>
          <w:rFonts w:hint="eastAsia" w:ascii="仿宋_GB2312" w:eastAsia="仿宋_GB2312"/>
          <w:sz w:val="32"/>
          <w:szCs w:val="32"/>
        </w:rPr>
        <w:t>万元，</w:t>
      </w:r>
      <w:r>
        <w:rPr>
          <w:rFonts w:hint="eastAsia" w:ascii="仿宋_GB2312" w:eastAsia="仿宋_GB2312"/>
          <w:sz w:val="32"/>
          <w:szCs w:val="32"/>
          <w:lang w:val="en-US" w:eastAsia="zh-CN"/>
        </w:rPr>
        <w:t>增长8.49</w:t>
      </w:r>
      <w:r>
        <w:rPr>
          <w:rFonts w:hint="eastAsia" w:ascii="仿宋_GB2312" w:eastAsia="仿宋_GB2312"/>
          <w:sz w:val="32"/>
          <w:szCs w:val="32"/>
        </w:rPr>
        <w:t>%。主要</w:t>
      </w:r>
      <w:r>
        <w:rPr>
          <w:rFonts w:hint="eastAsia" w:ascii="仿宋_GB2312" w:eastAsia="仿宋_GB2312"/>
          <w:sz w:val="32"/>
          <w:szCs w:val="32"/>
          <w:lang w:val="en-US" w:eastAsia="zh-CN"/>
        </w:rPr>
        <w:t>是由于机构改革，单位合并，工信局合并于发改局，加之事业人员调动增加，卫生健康支出类行政事业单位医疗缴费预算增加。</w:t>
      </w:r>
    </w:p>
    <w:p>
      <w:pPr>
        <w:ind w:firstLine="645"/>
        <w:rPr>
          <w:rFonts w:hint="default"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33.49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减少2.15</w:t>
      </w:r>
      <w:r>
        <w:rPr>
          <w:rFonts w:hint="eastAsia" w:ascii="仿宋_GB2312" w:eastAsia="仿宋_GB2312"/>
          <w:sz w:val="32"/>
          <w:szCs w:val="32"/>
        </w:rPr>
        <w:t>万元，</w:t>
      </w:r>
      <w:r>
        <w:rPr>
          <w:rFonts w:hint="eastAsia" w:ascii="仿宋_GB2312" w:eastAsia="仿宋_GB2312"/>
          <w:sz w:val="32"/>
          <w:szCs w:val="32"/>
          <w:lang w:val="en-US" w:eastAsia="zh-CN"/>
        </w:rPr>
        <w:t>下降6.03</w:t>
      </w:r>
      <w:r>
        <w:rPr>
          <w:rFonts w:hint="eastAsia" w:ascii="仿宋_GB2312" w:eastAsia="仿宋_GB2312"/>
          <w:sz w:val="32"/>
          <w:szCs w:val="32"/>
        </w:rPr>
        <w:t>%。</w:t>
      </w:r>
      <w:r>
        <w:rPr>
          <w:rFonts w:hint="eastAsia" w:ascii="仿宋_GB2312" w:eastAsia="仿宋_GB2312"/>
          <w:sz w:val="32"/>
          <w:szCs w:val="32"/>
          <w:lang w:val="en-US" w:eastAsia="zh-CN"/>
        </w:rPr>
        <w:t>主要原因是行政人员调出增加，故此款项较上年减少。</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巩固脱贫攻坚成果衔接乡村振兴</w:t>
      </w:r>
      <w:r>
        <w:rPr>
          <w:rFonts w:hint="eastAsia" w:ascii="仿宋_GB2312" w:eastAsia="仿宋_GB2312"/>
          <w:sz w:val="32"/>
          <w:szCs w:val="32"/>
        </w:rPr>
        <w:t>（款）</w:t>
      </w:r>
      <w:r>
        <w:rPr>
          <w:rFonts w:hint="eastAsia" w:ascii="仿宋_GB2312" w:eastAsia="仿宋_GB2312"/>
          <w:sz w:val="32"/>
          <w:szCs w:val="32"/>
          <w:lang w:val="en-US" w:eastAsia="zh-CN"/>
        </w:rPr>
        <w:t>其他巩固脱贫攻坚成果衔接乡村振兴支出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w:t>
      </w:r>
      <w:r>
        <w:rPr>
          <w:rFonts w:hint="eastAsia" w:ascii="仿宋_GB2312" w:eastAsia="仿宋_GB2312"/>
          <w:sz w:val="32"/>
          <w:szCs w:val="32"/>
          <w:lang w:val="en-US" w:eastAsia="zh-CN"/>
        </w:rPr>
        <w:t>主要是本年增加脱贫攻坚成果乡村振兴项目，此款项无法在水务局一般支付系统作支出，发改以监管部门作此项目费用支出，故此款项预算列支发改局。</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67.32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增加13.81</w:t>
      </w:r>
      <w:r>
        <w:rPr>
          <w:rFonts w:hint="eastAsia" w:ascii="仿宋_GB2312" w:eastAsia="仿宋_GB2312"/>
          <w:sz w:val="32"/>
          <w:szCs w:val="32"/>
        </w:rPr>
        <w:t>万元，</w:t>
      </w:r>
      <w:r>
        <w:rPr>
          <w:rFonts w:hint="eastAsia" w:ascii="仿宋_GB2312" w:eastAsia="仿宋_GB2312"/>
          <w:sz w:val="32"/>
          <w:szCs w:val="32"/>
          <w:lang w:val="en-US" w:eastAsia="zh-CN"/>
        </w:rPr>
        <w:t>增长25.81</w:t>
      </w:r>
      <w:r>
        <w:rPr>
          <w:rFonts w:hint="eastAsia" w:ascii="仿宋_GB2312" w:eastAsia="仿宋_GB2312"/>
          <w:sz w:val="32"/>
          <w:szCs w:val="32"/>
        </w:rPr>
        <w:t>%。主要</w:t>
      </w:r>
      <w:r>
        <w:rPr>
          <w:rFonts w:hint="eastAsia" w:ascii="仿宋_GB2312" w:eastAsia="仿宋_GB2312"/>
          <w:sz w:val="32"/>
          <w:szCs w:val="32"/>
          <w:lang w:val="en-US" w:eastAsia="zh-CN"/>
        </w:rPr>
        <w:t>是由于机构改革，单位合并，工信局合并于发改局，人员增加，住房保障支出类住房改革住房公积金费用预算增加。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湟源县发展和改革局（本级）2023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1073.17</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1029.65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168.77万元、津贴补贴195.73万元、奖金66.68万元、绩效工资166.07万元、机关事业单位基本养老保险缴费71.43万元、职业年金缴费35.72万元、职工基本医疗保险缴费27.24万元、公务员医疗补助缴费33.49万元、其他社会保障缴费2.22万元、住房公积金67.32万元、其他工资福利支出49.38万元、退休费108.31万元、生活补助1.69万元、医疗费补助35.60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43.52</w:t>
      </w:r>
      <w:r>
        <w:rPr>
          <w:rFonts w:hint="eastAsia" w:ascii="仿宋_GB2312" w:eastAsia="仿宋_GB2312"/>
          <w:sz w:val="32"/>
          <w:szCs w:val="32"/>
        </w:rPr>
        <w:t>万元，主要包括：</w:t>
      </w:r>
      <w:r>
        <w:rPr>
          <w:rFonts w:hint="eastAsia" w:ascii="仿宋_GB2312" w:eastAsia="仿宋_GB2312"/>
          <w:sz w:val="32"/>
          <w:szCs w:val="32"/>
          <w:lang w:val="en-US" w:eastAsia="zh-CN"/>
        </w:rPr>
        <w:t>办公费4.84万元、水费0.88万元、电费0.88万元、邮电费3.52万元、取暖费4.40万元、差旅费3.96万元、公务接待费1.32万元、工会经费8.38万元、公务用车运行维护费1.00万元、其他交通费用9.56万元、其他商品和服务支出4.78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湟源县发展和改革局（本级）2023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rPr>
      </w:pP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2.32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增加0.09</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1.32</w:t>
      </w:r>
      <w:r>
        <w:rPr>
          <w:rFonts w:hint="eastAsia" w:ascii="仿宋_GB2312" w:eastAsia="仿宋_GB2312"/>
          <w:sz w:val="32"/>
          <w:szCs w:val="32"/>
        </w:rPr>
        <w:t>万元，</w:t>
      </w:r>
      <w:r>
        <w:rPr>
          <w:rFonts w:hint="eastAsia" w:ascii="仿宋_GB2312" w:eastAsia="仿宋_GB2312"/>
          <w:sz w:val="32"/>
          <w:szCs w:val="32"/>
          <w:lang w:val="en-US" w:eastAsia="zh-CN"/>
        </w:rPr>
        <w:t>增加0.09</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w:t>
      </w:r>
      <w:r>
        <w:rPr>
          <w:rFonts w:hint="eastAsia" w:ascii="仿宋_GB2312" w:eastAsia="仿宋_GB2312"/>
          <w:sz w:val="32"/>
          <w:szCs w:val="32"/>
          <w:lang w:val="en-US" w:eastAsia="zh-CN"/>
        </w:rPr>
        <w:t>是由于本年度项目增加，招商力度增大，投资商来源考察次数增加，故招待费用增加。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湟源县发展和改革局（本级）2023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湟源县发展和改革局（本级）2023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湟源县发展和改革局（本级）</w:t>
      </w:r>
      <w:r>
        <w:rPr>
          <w:rFonts w:hint="eastAsia" w:ascii="仿宋_GB2312" w:hAnsi="仿宋" w:eastAsia="仿宋_GB2312"/>
          <w:spacing w:val="-6"/>
          <w:kern w:val="2"/>
          <w:sz w:val="32"/>
          <w:szCs w:val="32"/>
          <w:lang w:val="en-US"/>
        </w:rPr>
        <w:t>机关运行经费财政拨款预算43.52万元，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w:t>
      </w:r>
      <w:bookmarkStart w:id="6" w:name="_GoBack"/>
      <w:r>
        <w:rPr>
          <w:rFonts w:hint="eastAsia" w:ascii="仿宋_GB2312" w:hAnsi="仿宋" w:eastAsia="仿宋_GB2312"/>
          <w:spacing w:val="-6"/>
          <w:kern w:val="2"/>
          <w:sz w:val="32"/>
          <w:szCs w:val="32"/>
          <w:lang w:val="en-US"/>
        </w:rPr>
        <w:t>算减少3.25万元，下降6.95%。主要</w:t>
      </w:r>
      <w:r>
        <w:rPr>
          <w:rFonts w:hint="eastAsia" w:ascii="仿宋_GB2312" w:hAnsi="仿宋" w:eastAsia="仿宋_GB2312"/>
          <w:spacing w:val="-6"/>
          <w:kern w:val="2"/>
          <w:sz w:val="32"/>
          <w:szCs w:val="32"/>
          <w:lang w:val="en-US" w:eastAsia="zh-CN"/>
        </w:rPr>
        <w:t>是按照政府过紧日子的要求，我局缩减办公费用</w:t>
      </w:r>
      <w:r>
        <w:rPr>
          <w:rFonts w:hint="eastAsia" w:ascii="仿宋_GB2312" w:hAnsi="仿宋" w:eastAsia="仿宋_GB2312"/>
          <w:spacing w:val="-6"/>
          <w:kern w:val="2"/>
          <w:sz w:val="32"/>
          <w:szCs w:val="32"/>
          <w:lang w:val="en-US"/>
        </w:rPr>
        <w:t>。</w:t>
      </w:r>
    </w:p>
    <w:bookmarkEnd w:id="6"/>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湟源县发展和改革局（本级）各单位</w:t>
      </w:r>
      <w:r>
        <w:rPr>
          <w:rFonts w:hint="eastAsia" w:ascii="仿宋_GB2312" w:hAnsi="仿宋" w:eastAsia="仿宋_GB2312"/>
          <w:spacing w:val="-6"/>
          <w:kern w:val="2"/>
          <w:sz w:val="32"/>
          <w:szCs w:val="32"/>
          <w:lang w:val="en-US"/>
        </w:rPr>
        <w:t>政府采购预算总</w:t>
      </w:r>
      <w:r>
        <w:rPr>
          <w:rFonts w:hint="eastAsia" w:ascii="仿宋_GB2312" w:hAnsi="仿宋" w:eastAsia="仿宋_GB2312"/>
          <w:spacing w:val="-6"/>
          <w:kern w:val="2"/>
          <w:sz w:val="32"/>
          <w:szCs w:val="32"/>
          <w:lang w:val="en-US" w:eastAsia="zh-CN"/>
        </w:rPr>
        <w:t>额0</w:t>
      </w:r>
      <w:r>
        <w:rPr>
          <w:rFonts w:hint="eastAsia" w:ascii="仿宋_GB2312" w:hAnsi="仿宋" w:eastAsia="仿宋_GB2312"/>
          <w:spacing w:val="-6"/>
          <w:kern w:val="2"/>
          <w:sz w:val="32"/>
          <w:szCs w:val="32"/>
          <w:lang w:val="en-US"/>
        </w:rPr>
        <w:t>万元，其中：政府采购货物预</w:t>
      </w:r>
      <w:r>
        <w:rPr>
          <w:rFonts w:hint="eastAsia" w:ascii="仿宋_GB2312" w:hAnsi="仿宋" w:eastAsia="仿宋_GB2312"/>
          <w:spacing w:val="-6"/>
          <w:kern w:val="2"/>
          <w:sz w:val="32"/>
          <w:szCs w:val="32"/>
          <w:lang w:val="en-US" w:eastAsia="zh-CN"/>
        </w:rPr>
        <w:t>算0</w:t>
      </w:r>
      <w:r>
        <w:rPr>
          <w:rFonts w:hint="eastAsia" w:ascii="仿宋_GB2312" w:hAnsi="仿宋" w:eastAsia="仿宋_GB2312"/>
          <w:spacing w:val="-6"/>
          <w:kern w:val="2"/>
          <w:sz w:val="32"/>
          <w:szCs w:val="32"/>
          <w:lang w:val="en-US"/>
        </w:rPr>
        <w:t>万元、政府采购工程预</w:t>
      </w:r>
      <w:r>
        <w:rPr>
          <w:rFonts w:hint="eastAsia" w:ascii="仿宋_GB2312" w:hAnsi="仿宋" w:eastAsia="仿宋_GB2312"/>
          <w:spacing w:val="-6"/>
          <w:kern w:val="2"/>
          <w:sz w:val="32"/>
          <w:szCs w:val="32"/>
          <w:lang w:val="en-US" w:eastAsia="zh-CN"/>
        </w:rPr>
        <w:t>算0</w:t>
      </w:r>
      <w:r>
        <w:rPr>
          <w:rFonts w:hint="eastAsia" w:ascii="仿宋_GB2312" w:hAnsi="仿宋" w:eastAsia="仿宋_GB2312"/>
          <w:spacing w:val="-6"/>
          <w:kern w:val="2"/>
          <w:sz w:val="32"/>
          <w:szCs w:val="32"/>
          <w:lang w:val="en-US"/>
        </w:rPr>
        <w:t>万元、政府采购服务预</w:t>
      </w:r>
      <w:r>
        <w:rPr>
          <w:rFonts w:hint="eastAsia" w:ascii="仿宋_GB2312" w:hAnsi="仿宋" w:eastAsia="仿宋_GB2312"/>
          <w:spacing w:val="-6"/>
          <w:kern w:val="2"/>
          <w:sz w:val="32"/>
          <w:szCs w:val="32"/>
          <w:lang w:val="en-US" w:eastAsia="zh-CN"/>
        </w:rPr>
        <w:t>算0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湟源县发展和改革局（本级）所属各预算单位</w:t>
      </w:r>
      <w:r>
        <w:rPr>
          <w:rFonts w:hint="eastAsia" w:ascii="仿宋_GB2312" w:hAnsi="仿宋" w:eastAsia="仿宋_GB2312"/>
          <w:spacing w:val="-6"/>
          <w:kern w:val="2"/>
          <w:sz w:val="32"/>
          <w:szCs w:val="32"/>
          <w:lang w:val="en-US"/>
        </w:rPr>
        <w:t>共有车</w:t>
      </w:r>
      <w:r>
        <w:rPr>
          <w:rFonts w:hint="eastAsia" w:ascii="仿宋_GB2312" w:hAnsi="仿宋" w:eastAsia="仿宋_GB2312"/>
          <w:spacing w:val="-6"/>
          <w:kern w:val="2"/>
          <w:sz w:val="32"/>
          <w:szCs w:val="32"/>
          <w:lang w:val="en-US" w:eastAsia="zh-CN"/>
        </w:rPr>
        <w:t>辆1</w:t>
      </w:r>
      <w:r>
        <w:rPr>
          <w:rFonts w:hint="eastAsia" w:ascii="仿宋_GB2312" w:hAnsi="仿宋" w:eastAsia="仿宋_GB2312"/>
          <w:spacing w:val="-6"/>
          <w:kern w:val="2"/>
          <w:sz w:val="32"/>
          <w:szCs w:val="32"/>
          <w:lang w:val="en-US"/>
        </w:rPr>
        <w:t>辆，其中，省级领导干部用</w:t>
      </w:r>
      <w:r>
        <w:rPr>
          <w:rFonts w:hint="eastAsia" w:ascii="仿宋_GB2312" w:hAnsi="仿宋" w:eastAsia="仿宋_GB2312"/>
          <w:spacing w:val="-6"/>
          <w:kern w:val="2"/>
          <w:sz w:val="32"/>
          <w:szCs w:val="32"/>
          <w:lang w:val="en-US" w:eastAsia="zh-CN"/>
        </w:rPr>
        <w:t>车0</w:t>
      </w:r>
      <w:r>
        <w:rPr>
          <w:rFonts w:hint="eastAsia" w:ascii="仿宋_GB2312" w:hAnsi="仿宋" w:eastAsia="仿宋_GB2312"/>
          <w:spacing w:val="-6"/>
          <w:kern w:val="2"/>
          <w:sz w:val="32"/>
          <w:szCs w:val="32"/>
          <w:lang w:val="en-US"/>
        </w:rPr>
        <w:t>辆、厅级领导干部用</w:t>
      </w:r>
      <w:r>
        <w:rPr>
          <w:rFonts w:hint="eastAsia" w:ascii="仿宋_GB2312" w:hAnsi="仿宋" w:eastAsia="仿宋_GB2312"/>
          <w:spacing w:val="-6"/>
          <w:kern w:val="2"/>
          <w:sz w:val="32"/>
          <w:szCs w:val="32"/>
          <w:lang w:val="en-US" w:eastAsia="zh-CN"/>
        </w:rPr>
        <w:t>车0</w:t>
      </w:r>
      <w:r>
        <w:rPr>
          <w:rFonts w:hint="eastAsia" w:ascii="仿宋_GB2312" w:hAnsi="仿宋" w:eastAsia="仿宋_GB2312"/>
          <w:spacing w:val="-6"/>
          <w:kern w:val="2"/>
          <w:sz w:val="32"/>
          <w:szCs w:val="32"/>
          <w:lang w:val="en-US"/>
        </w:rPr>
        <w:t>辆、一般公务用</w:t>
      </w:r>
      <w:r>
        <w:rPr>
          <w:rFonts w:hint="eastAsia" w:ascii="仿宋_GB2312" w:hAnsi="仿宋" w:eastAsia="仿宋_GB2312"/>
          <w:spacing w:val="-6"/>
          <w:kern w:val="2"/>
          <w:sz w:val="32"/>
          <w:szCs w:val="32"/>
          <w:lang w:val="en-US" w:eastAsia="zh-CN"/>
        </w:rPr>
        <w:t>车1</w:t>
      </w:r>
      <w:r>
        <w:rPr>
          <w:rFonts w:hint="eastAsia" w:ascii="仿宋_GB2312" w:hAnsi="仿宋" w:eastAsia="仿宋_GB2312"/>
          <w:spacing w:val="-6"/>
          <w:kern w:val="2"/>
          <w:sz w:val="32"/>
          <w:szCs w:val="32"/>
          <w:lang w:val="en-US"/>
        </w:rPr>
        <w:t>辆、一般执法执勤用</w:t>
      </w:r>
      <w:r>
        <w:rPr>
          <w:rFonts w:hint="eastAsia" w:ascii="仿宋_GB2312" w:hAnsi="仿宋" w:eastAsia="仿宋_GB2312"/>
          <w:spacing w:val="-6"/>
          <w:kern w:val="2"/>
          <w:sz w:val="32"/>
          <w:szCs w:val="32"/>
          <w:lang w:val="en-US" w:eastAsia="zh-CN"/>
        </w:rPr>
        <w:t>车0</w:t>
      </w:r>
      <w:r>
        <w:rPr>
          <w:rFonts w:hint="eastAsia" w:ascii="仿宋_GB2312" w:hAnsi="仿宋" w:eastAsia="仿宋_GB2312"/>
          <w:spacing w:val="-6"/>
          <w:kern w:val="2"/>
          <w:sz w:val="32"/>
          <w:szCs w:val="32"/>
          <w:lang w:val="en-US"/>
        </w:rPr>
        <w:t>辆、特种专业技术用</w:t>
      </w:r>
      <w:r>
        <w:rPr>
          <w:rFonts w:hint="eastAsia" w:ascii="仿宋_GB2312" w:hAnsi="仿宋" w:eastAsia="仿宋_GB2312"/>
          <w:spacing w:val="-6"/>
          <w:kern w:val="2"/>
          <w:sz w:val="32"/>
          <w:szCs w:val="32"/>
          <w:lang w:val="en-US" w:eastAsia="zh-CN"/>
        </w:rPr>
        <w:t>车0</w:t>
      </w:r>
      <w:r>
        <w:rPr>
          <w:rFonts w:hint="eastAsia" w:ascii="仿宋_GB2312" w:hAnsi="仿宋" w:eastAsia="仿宋_GB2312"/>
          <w:spacing w:val="-6"/>
          <w:kern w:val="2"/>
          <w:sz w:val="32"/>
          <w:szCs w:val="32"/>
          <w:lang w:val="en-US"/>
        </w:rPr>
        <w:t>辆、其他用</w:t>
      </w:r>
      <w:r>
        <w:rPr>
          <w:rFonts w:hint="eastAsia" w:ascii="仿宋_GB2312" w:hAnsi="仿宋" w:eastAsia="仿宋_GB2312"/>
          <w:spacing w:val="-6"/>
          <w:kern w:val="2"/>
          <w:sz w:val="32"/>
          <w:szCs w:val="32"/>
          <w:lang w:val="en-US" w:eastAsia="zh-CN"/>
        </w:rPr>
        <w:t>车0</w:t>
      </w:r>
      <w:r>
        <w:rPr>
          <w:rFonts w:hint="eastAsia" w:ascii="仿宋_GB2312" w:hAnsi="仿宋" w:eastAsia="仿宋_GB2312"/>
          <w:spacing w:val="-6"/>
          <w:kern w:val="2"/>
          <w:sz w:val="32"/>
          <w:szCs w:val="32"/>
          <w:lang w:val="en-US"/>
        </w:rPr>
        <w:t>辆。单价50万元以上通用设</w:t>
      </w:r>
      <w:r>
        <w:rPr>
          <w:rFonts w:hint="eastAsia" w:ascii="仿宋_GB2312" w:hAnsi="仿宋" w:eastAsia="仿宋_GB2312"/>
          <w:spacing w:val="-6"/>
          <w:kern w:val="2"/>
          <w:sz w:val="32"/>
          <w:szCs w:val="32"/>
          <w:lang w:val="en-US" w:eastAsia="zh-CN"/>
        </w:rPr>
        <w:t>备0</w:t>
      </w:r>
      <w:r>
        <w:rPr>
          <w:rFonts w:hint="eastAsia" w:ascii="仿宋_GB2312" w:hAnsi="仿宋" w:eastAsia="仿宋_GB2312"/>
          <w:spacing w:val="-6"/>
          <w:kern w:val="2"/>
          <w:sz w:val="32"/>
          <w:szCs w:val="32"/>
          <w:lang w:val="en-US"/>
        </w:rPr>
        <w:t>台（套），单价100万元以上专用设</w:t>
      </w:r>
      <w:r>
        <w:rPr>
          <w:rFonts w:hint="eastAsia" w:ascii="仿宋_GB2312" w:hAnsi="仿宋" w:eastAsia="仿宋_GB2312"/>
          <w:spacing w:val="-6"/>
          <w:kern w:val="2"/>
          <w:sz w:val="32"/>
          <w:szCs w:val="32"/>
          <w:lang w:val="en-US" w:eastAsia="zh-CN"/>
        </w:rPr>
        <w:t>备0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湟源县发展和改革局（本级）</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733.00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1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7"/>
        <w:gridCol w:w="1012"/>
        <w:gridCol w:w="1677"/>
        <w:gridCol w:w="845"/>
        <w:gridCol w:w="805"/>
        <w:gridCol w:w="1506"/>
        <w:gridCol w:w="900"/>
        <w:gridCol w:w="95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1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6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财政衔接推进乡村振兴补助资金项目</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支持联农带农富农产业发展</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资金下达时间紧</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经济效益明显</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社会满意度提高</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价格认证农本调查和价格监测工作经费</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农产品调查户26户，每年调查6次，设计调查品种有小麦，油菜籽，生猪，蔬菜，农户存粮和农机化肥等。</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农户调查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调查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满意率达标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全县项目前期费</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加快项目建设进度，争取农林牧水基础设施等项目早日投产达效。</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按时完成项目前期工作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完成项目实施</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项目业务经费</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加强重点项目的督促，指导，加强与省市发改部门重点建设项目的对接。</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按时开展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项目前期工作进展顺利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项目单位满意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招商经费</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项目投资管理、外出招商引进项目、项目落户手续办理、投资洽谈大型项目会展布展，湟源县项目宣传册编制印刷。</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每年外出招商次数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每年发放项目册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投资规模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企业对湟源县完成青洽会、城洽会的情况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粮油监督检查及化解经费</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粮油监督检查及化解经费</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社会关注度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市级成品粮保管费</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保管市级成品粮220吨</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保证220吨成品粮保管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招投标文件审查工程造价咨询费</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28.00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规范招投标</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验收通过率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实际收入增长率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疫情防控物资（药品）采购</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疫情防控物资药品采购</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社会时效性强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经济效益良好</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黑体" w:hAnsi="宋体" w:eastAsia="黑体"/>
          <w:color w:val="00000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一般公共服务支出（类）发展与改革事务（款）行政运行（项）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b w:val="0"/>
          <w:bCs w:val="0"/>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）农林水支出（类）巩固脱贫攻坚成果衔接乡村振兴（款）其他巩固脱贫攻坚成果衔接乡村振兴支出（项）：</w:t>
      </w:r>
      <w:r>
        <w:rPr>
          <w:rFonts w:hint="eastAsia" w:ascii="仿宋_GB2312" w:eastAsia="仿宋_GB2312"/>
          <w:b w:val="0"/>
          <w:bCs w:val="0"/>
          <w:sz w:val="32"/>
          <w:szCs w:val="32"/>
          <w:lang w:val="en-US" w:eastAsia="zh-CN"/>
        </w:rPr>
        <w:t>反映除上述项目以外其他用于巩固拓展脱贫攻坚成果同乡村振兴有效衔接方面的支出。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85F20"/>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2CD0AE3"/>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121AE"/>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404C56"/>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A1914"/>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401DF"/>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050C6"/>
    <w:rsid w:val="2D7C1CBC"/>
    <w:rsid w:val="2D9C6C0D"/>
    <w:rsid w:val="2DCE076A"/>
    <w:rsid w:val="2DF61A6F"/>
    <w:rsid w:val="2E2A34C6"/>
    <w:rsid w:val="2E5D1AEE"/>
    <w:rsid w:val="2E7E2FE0"/>
    <w:rsid w:val="2EA944D2"/>
    <w:rsid w:val="2EBF2578"/>
    <w:rsid w:val="2EF35057"/>
    <w:rsid w:val="2F0A0548"/>
    <w:rsid w:val="2F0B32F8"/>
    <w:rsid w:val="2F113A77"/>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3D2720"/>
    <w:rsid w:val="3A5C534F"/>
    <w:rsid w:val="3A667F7C"/>
    <w:rsid w:val="3AC151B3"/>
    <w:rsid w:val="3AE57819"/>
    <w:rsid w:val="3AF85078"/>
    <w:rsid w:val="3B253993"/>
    <w:rsid w:val="3B2E2848"/>
    <w:rsid w:val="3B2F4FC9"/>
    <w:rsid w:val="3B626996"/>
    <w:rsid w:val="3B653D90"/>
    <w:rsid w:val="3BEE2461"/>
    <w:rsid w:val="3C292100"/>
    <w:rsid w:val="3C2A2A87"/>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B513D"/>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382AE4"/>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30798E"/>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9D26B0"/>
    <w:rsid w:val="60B110E0"/>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5D1F52"/>
    <w:rsid w:val="6A733988"/>
    <w:rsid w:val="6A80346D"/>
    <w:rsid w:val="6A84252C"/>
    <w:rsid w:val="6B2667E8"/>
    <w:rsid w:val="6B2E7D36"/>
    <w:rsid w:val="6B317667"/>
    <w:rsid w:val="6B39651C"/>
    <w:rsid w:val="6B454EC0"/>
    <w:rsid w:val="6B4A697B"/>
    <w:rsid w:val="6B511AB7"/>
    <w:rsid w:val="6B8A321B"/>
    <w:rsid w:val="6BBF1117"/>
    <w:rsid w:val="6BD808EE"/>
    <w:rsid w:val="6BF60B14"/>
    <w:rsid w:val="6C04337A"/>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5C1BE8"/>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3A015F"/>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 w:type="character" w:customStyle="1" w:styleId="16">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8624</Words>
  <Characters>10420</Characters>
  <Lines>43</Lines>
  <Paragraphs>12</Paragraphs>
  <TotalTime>2</TotalTime>
  <ScaleCrop>false</ScaleCrop>
  <LinksUpToDate>false</LinksUpToDate>
  <CharactersWithSpaces>10538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2023-06-06T08:01:25Z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2E25CB0A87AE436C8F76876689ED13A8_13</vt:lpwstr>
  </property>
</Properties>
</file>