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3"/>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3"/>
              <w:jc w:val="center"/>
              <w:rPr>
                <w:rFonts w:ascii="Cambria" w:hAnsi="Cambria"/>
                <w:b/>
                <w:sz w:val="80"/>
                <w:szCs w:val="80"/>
              </w:rPr>
            </w:pPr>
            <w:r>
              <w:rPr>
                <w:rFonts w:hint="eastAsia" w:ascii="Cambria" w:hAnsi="Cambria"/>
                <w:b/>
                <w:sz w:val="80"/>
                <w:szCs w:val="80"/>
                <w:lang w:val="en-US" w:eastAsia="zh-CN"/>
              </w:rPr>
              <w:t>湟源县东峡国有林场</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3"/>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3"/>
              <w:jc w:val="center"/>
            </w:pPr>
          </w:p>
        </w:tc>
      </w:tr>
    </w:tbl>
    <w:p/>
    <w:tbl>
      <w:tblPr>
        <w:tblStyle w:val="6"/>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c>
          <w:tcPr>
            <w:tcW w:w="5000" w:type="pct"/>
            <w:noWrap w:val="0"/>
            <w:vAlign w:val="top"/>
          </w:tcPr>
          <w:p>
            <w:pPr>
              <w:pStyle w:val="13"/>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00" w:firstLineChars="200"/>
        <w:rPr>
          <w:rFonts w:hint="eastAsia" w:ascii="黑体" w:eastAsia="黑体"/>
          <w:color w:val="000000"/>
          <w:sz w:val="30"/>
          <w:szCs w:val="30"/>
        </w:rPr>
      </w:pP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管理国有林场所，促进林业发展。国有林场规划，计划编制；林木种苗生产供应；林木种苗病虫害防治，林木种子采购加工；林木种苗储藏与供应；护林防火；相关技术人员和管理人员培训。</w:t>
      </w:r>
    </w:p>
    <w:p>
      <w:pPr>
        <w:numPr>
          <w:ilvl w:val="0"/>
          <w:numId w:val="1"/>
        </w:numPr>
        <w:adjustRightInd w:val="0"/>
        <w:snapToGrid w:val="0"/>
        <w:spacing w:line="560" w:lineRule="exact"/>
        <w:ind w:firstLine="640" w:firstLineChars="200"/>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机构设置</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湟源县东峡国有林场无内设机构，事业编制人数9人，实有事业人员9人。</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lang w:eastAsia="zh-CN"/>
        </w:rPr>
        <w:t>三</w:t>
      </w:r>
      <w:r>
        <w:rPr>
          <w:rFonts w:hint="eastAsia" w:ascii="黑体" w:hAnsi="宋体" w:eastAsia="黑体"/>
          <w:color w:val="000000"/>
          <w:sz w:val="32"/>
          <w:szCs w:val="32"/>
        </w:rPr>
        <w:t>、</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ind w:firstLine="640" w:firstLineChars="200"/>
        <w:rPr>
          <w:rFonts w:hint="eastAsia" w:ascii="仿宋_GB2312" w:eastAsia="仿宋_GB2312"/>
          <w:sz w:val="32"/>
          <w:szCs w:val="32"/>
          <w:u w:val="single"/>
        </w:rPr>
      </w:pPr>
      <w:r>
        <w:rPr>
          <w:rFonts w:hint="eastAsia" w:ascii="仿宋_GB2312" w:eastAsia="仿宋_GB2312"/>
          <w:sz w:val="32"/>
          <w:szCs w:val="32"/>
        </w:rPr>
        <w:t>纳入</w:t>
      </w:r>
      <w:r>
        <w:rPr>
          <w:rFonts w:hint="eastAsia" w:ascii="仿宋_GB2312" w:eastAsia="仿宋_GB2312"/>
          <w:sz w:val="32"/>
          <w:szCs w:val="32"/>
          <w:lang w:val="en-US" w:eastAsia="zh-CN"/>
        </w:rPr>
        <w:t>湟源县东峡国有林场</w:t>
      </w:r>
      <w:r>
        <w:rPr>
          <w:rFonts w:hint="eastAsia" w:ascii="仿宋_GB2312" w:eastAsia="仿宋_GB2312"/>
          <w:color w:val="000000"/>
          <w:sz w:val="30"/>
          <w:szCs w:val="30"/>
          <w:lang w:eastAsia="zh-CN"/>
        </w:rPr>
        <w:t>部门</w:t>
      </w:r>
      <w:r>
        <w:rPr>
          <w:rFonts w:hint="eastAsia" w:ascii="仿宋_GB2312" w:eastAsia="仿宋_GB2312"/>
          <w:color w:val="000000"/>
          <w:sz w:val="30"/>
          <w:szCs w:val="30"/>
          <w:lang w:val="en-US" w:eastAsia="zh-CN"/>
        </w:rPr>
        <w:t>2023</w:t>
      </w:r>
      <w:r>
        <w:rPr>
          <w:rFonts w:hint="eastAsia" w:ascii="仿宋_GB2312" w:eastAsia="仿宋_GB2312"/>
          <w:sz w:val="32"/>
          <w:szCs w:val="32"/>
        </w:rPr>
        <w:t>年</w:t>
      </w:r>
      <w:r>
        <w:rPr>
          <w:rFonts w:hint="eastAsia" w:ascii="仿宋_GB2312" w:eastAsia="仿宋_GB2312"/>
          <w:sz w:val="32"/>
          <w:szCs w:val="32"/>
          <w:lang w:eastAsia="zh-CN"/>
        </w:rPr>
        <w:t>部门</w:t>
      </w:r>
      <w:r>
        <w:rPr>
          <w:rFonts w:hint="eastAsia" w:ascii="仿宋_GB2312" w:eastAsia="仿宋_GB2312"/>
          <w:sz w:val="32"/>
          <w:szCs w:val="32"/>
        </w:rPr>
        <w:t>预算编制范围的二级预算</w:t>
      </w:r>
      <w:r>
        <w:rPr>
          <w:rFonts w:hint="eastAsia" w:ascii="仿宋_GB2312" w:eastAsia="仿宋_GB2312"/>
          <w:sz w:val="32"/>
          <w:szCs w:val="32"/>
          <w:lang w:val="en-US" w:eastAsia="zh-CN"/>
        </w:rPr>
        <w:t>单位</w:t>
      </w:r>
      <w:bookmarkStart w:id="6" w:name="_GoBack"/>
      <w:bookmarkEnd w:id="6"/>
      <w:r>
        <w:rPr>
          <w:rFonts w:hint="eastAsia" w:ascii="仿宋_GB2312" w:eastAsia="仿宋_GB2312"/>
          <w:sz w:val="32"/>
          <w:szCs w:val="32"/>
        </w:rPr>
        <w:t>包括：</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ind w:firstLine="160" w:firstLineChars="50"/>
              <w:rPr>
                <w:rFonts w:hint="eastAsia" w:ascii="仿宋_GB2312" w:eastAsia="仿宋_GB2312"/>
                <w:sz w:val="32"/>
                <w:szCs w:val="32"/>
              </w:rPr>
            </w:pPr>
            <w:r>
              <w:rPr>
                <w:rFonts w:hint="eastAsia" w:ascii="仿宋_GB2312" w:eastAsia="仿宋_GB2312"/>
                <w:sz w:val="32"/>
                <w:szCs w:val="32"/>
              </w:rPr>
              <w:t>序号</w:t>
            </w:r>
          </w:p>
        </w:tc>
        <w:tc>
          <w:tcPr>
            <w:tcW w:w="6328" w:type="dxa"/>
            <w:noWrap w:val="0"/>
            <w:vAlign w:val="top"/>
          </w:tcPr>
          <w:p>
            <w:pPr>
              <w:jc w:val="center"/>
              <w:rPr>
                <w:rFonts w:hint="eastAsia" w:ascii="仿宋_GB2312" w:eastAsia="仿宋_GB2312"/>
                <w:sz w:val="32"/>
                <w:szCs w:val="32"/>
              </w:rPr>
            </w:pPr>
            <w:r>
              <w:rPr>
                <w:rFonts w:hint="eastAsia" w:ascii="仿宋_GB2312" w:eastAsia="仿宋_GB2312"/>
                <w:sz w:val="32"/>
                <w:szCs w:val="32"/>
                <w:lang w:eastAsia="zh-CN"/>
              </w:rPr>
              <w:t>部门</w:t>
            </w:r>
            <w:r>
              <w:rPr>
                <w:rFonts w:hint="eastAsia" w:ascii="仿宋_GB2312" w:eastAsia="仿宋_GB2312"/>
                <w:sz w:val="32"/>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eastAsia" w:ascii="仿宋_GB2312" w:eastAsia="仿宋_GB2312"/>
                <w:sz w:val="32"/>
                <w:szCs w:val="32"/>
              </w:rPr>
            </w:pPr>
            <w:r>
              <w:rPr>
                <w:rFonts w:hint="eastAsia" w:ascii="仿宋_GB2312" w:eastAsia="仿宋_GB2312"/>
                <w:sz w:val="32"/>
                <w:szCs w:val="32"/>
              </w:rPr>
              <w:t>1</w:t>
            </w:r>
          </w:p>
        </w:tc>
        <w:tc>
          <w:tcPr>
            <w:tcW w:w="6328" w:type="dxa"/>
            <w:noWrap w:val="0"/>
            <w:vAlign w:val="top"/>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无</w:t>
            </w:r>
          </w:p>
        </w:tc>
      </w:tr>
    </w:tbl>
    <w:p>
      <w:pPr>
        <w:adjustRightInd w:val="0"/>
        <w:snapToGrid w:val="0"/>
        <w:spacing w:line="560" w:lineRule="exact"/>
        <w:ind w:firstLine="600" w:firstLineChars="200"/>
        <w:jc w:val="center"/>
        <w:rPr>
          <w:rFonts w:hint="eastAsia" w:ascii="仿宋_GB2312" w:eastAsia="仿宋_GB2312"/>
          <w:color w:val="000000"/>
          <w:sz w:val="30"/>
          <w:szCs w:val="30"/>
        </w:rPr>
      </w:pPr>
    </w:p>
    <w:p>
      <w:pPr>
        <w:adjustRightInd w:val="0"/>
        <w:snapToGrid w:val="0"/>
        <w:spacing w:line="560" w:lineRule="exact"/>
        <w:ind w:firstLine="600" w:firstLineChars="200"/>
        <w:jc w:val="center"/>
        <w:rPr>
          <w:rFonts w:hint="eastAsia" w:ascii="仿宋_GB2312" w:eastAsia="仿宋_GB2312"/>
          <w:color w:val="000000"/>
          <w:sz w:val="30"/>
          <w:szCs w:val="30"/>
        </w:rPr>
      </w:pPr>
    </w:p>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6"/>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229.12</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36.60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17.78</w:t>
            </w:r>
          </w:p>
        </w:tc>
      </w:tr>
      <w:tr>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158.00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16.80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229.12</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229.18</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0.06</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229.18</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229.18</w:t>
            </w:r>
          </w:p>
        </w:tc>
      </w:tr>
    </w:tbl>
    <w:p>
      <w:pPr>
        <w:rPr>
          <w:rFonts w:hint="eastAsia" w:ascii="仿宋_GB2312" w:eastAsia="仿宋_GB2312"/>
          <w:sz w:val="32"/>
          <w:szCs w:val="32"/>
          <w:lang w:val="en-US" w:eastAsia="zh-CN"/>
        </w:rPr>
      </w:pPr>
    </w:p>
    <w:tbl>
      <w:tblPr>
        <w:tblStyle w:val="6"/>
        <w:tblpPr w:leftFromText="180" w:rightFromText="180" w:vertAnchor="text" w:horzAnchor="page" w:tblpXSpec="center" w:tblpY="618"/>
        <w:tblOverlap w:val="never"/>
        <w:tblW w:w="11542" w:type="dxa"/>
        <w:jc w:val="center"/>
        <w:tblLayout w:type="fixed"/>
        <w:tblCellMar>
          <w:top w:w="0" w:type="dxa"/>
          <w:left w:w="108" w:type="dxa"/>
          <w:bottom w:w="0" w:type="dxa"/>
          <w:right w:w="108" w:type="dxa"/>
        </w:tblCellMar>
      </w:tblPr>
      <w:tblGrid>
        <w:gridCol w:w="1100"/>
        <w:gridCol w:w="1083"/>
        <w:gridCol w:w="1083"/>
        <w:gridCol w:w="1084"/>
        <w:gridCol w:w="914"/>
        <w:gridCol w:w="914"/>
        <w:gridCol w:w="914"/>
        <w:gridCol w:w="914"/>
        <w:gridCol w:w="914"/>
        <w:gridCol w:w="914"/>
        <w:gridCol w:w="914"/>
        <w:gridCol w:w="794"/>
      </w:tblGrid>
      <w:tr>
        <w:tblPrEx>
          <w:tblCellMar>
            <w:top w:w="0" w:type="dxa"/>
            <w:left w:w="108" w:type="dxa"/>
            <w:bottom w:w="0" w:type="dxa"/>
            <w:right w:w="108" w:type="dxa"/>
          </w:tblCellMar>
        </w:tblPrEx>
        <w:trPr>
          <w:trHeight w:val="392" w:hRule="atLeast"/>
          <w:jc w:val="center"/>
        </w:trPr>
        <w:tc>
          <w:tcPr>
            <w:tcW w:w="11542"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542"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542"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7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229.18</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0.06</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229.12</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9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湟源县林业和草原局</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229.18</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0.06</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229.12</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9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湟源县东峡国有林场</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229.18</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0.06</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229.12</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9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6"/>
        <w:tblW w:w="11750" w:type="dxa"/>
        <w:jc w:val="center"/>
        <w:tblLayout w:type="fixed"/>
        <w:tblCellMar>
          <w:top w:w="0" w:type="dxa"/>
          <w:left w:w="108" w:type="dxa"/>
          <w:bottom w:w="0" w:type="dxa"/>
          <w:right w:w="108" w:type="dxa"/>
        </w:tblCellMar>
      </w:tblPr>
      <w:tblGrid>
        <w:gridCol w:w="1100"/>
        <w:gridCol w:w="3825"/>
        <w:gridCol w:w="1137"/>
        <w:gridCol w:w="1137"/>
        <w:gridCol w:w="1137"/>
        <w:gridCol w:w="1137"/>
        <w:gridCol w:w="1137"/>
        <w:gridCol w:w="1140"/>
      </w:tblGrid>
      <w:tr>
        <w:tblPrEx>
          <w:tblCellMar>
            <w:top w:w="0" w:type="dxa"/>
            <w:left w:w="108" w:type="dxa"/>
            <w:bottom w:w="0" w:type="dxa"/>
            <w:right w:w="108" w:type="dxa"/>
          </w:tblCellMar>
        </w:tblPrEx>
        <w:trPr>
          <w:trHeight w:val="187" w:hRule="atLeast"/>
          <w:jc w:val="center"/>
        </w:trPr>
        <w:tc>
          <w:tcPr>
            <w:tcW w:w="11750"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750"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750"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492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229.18</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229.12</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0.06</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36.60</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36.60</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35.10</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35.10</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17.76</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17.76</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8.88</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8.88</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8.46</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8.46</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1.51</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1.51</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1.51</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1.51</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17.78</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17.78</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17.78</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17.78</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2101102</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事业单位医疗</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9.19</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9.19</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8.59</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8.59</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农林水支出</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158.00</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157.94</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0.06</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21302</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林业和草原</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157.94</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157.94</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2130204</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事业机构</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157.94</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157.94</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21305</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巩固脱贫攻坚成果衔接乡村振兴</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0.06</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0.06</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2130505</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生产发展</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0.06</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0.06</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16.80</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16.80</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16.80</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16.80</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16.80</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16.80</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6"/>
        <w:tblpPr w:leftFromText="180" w:rightFromText="180" w:vertAnchor="text" w:horzAnchor="page" w:tblpXSpec="center" w:tblpY="183"/>
        <w:tblOverlap w:val="never"/>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2"/>
        <w:gridCol w:w="1134"/>
        <w:gridCol w:w="1725"/>
        <w:gridCol w:w="1208"/>
        <w:gridCol w:w="1158"/>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8"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8"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8"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6"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362"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13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72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208"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158"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27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13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229.12</w:t>
            </w: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229.18</w:t>
            </w: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229.18</w:t>
            </w: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13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229.12</w:t>
            </w: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36.60</w:t>
            </w: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36.60</w:t>
            </w: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17.78</w:t>
            </w: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17.78</w:t>
            </w: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158.00</w:t>
            </w: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158.00</w:t>
            </w: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16.80</w:t>
            </w: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16.80</w:t>
            </w: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13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0.06</w:t>
            </w: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13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0.06</w:t>
            </w:r>
          </w:p>
        </w:tc>
        <w:tc>
          <w:tcPr>
            <w:tcW w:w="1725" w:type="dxa"/>
            <w:shd w:val="clear" w:color="auto" w:fill="FFFFFF"/>
            <w:noWrap/>
            <w:vAlign w:val="center"/>
          </w:tcPr>
          <w:p>
            <w:pPr>
              <w:widowControl/>
              <w:jc w:val="left"/>
              <w:rPr>
                <w:rFonts w:ascii="宋体" w:hAnsi="宋体" w:cs="宋体"/>
                <w:kern w:val="0"/>
                <w:sz w:val="20"/>
              </w:rPr>
            </w:pP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134" w:type="dxa"/>
            <w:shd w:val="clear" w:color="auto" w:fill="FFFFFF"/>
            <w:noWrap/>
            <w:vAlign w:val="center"/>
          </w:tcPr>
          <w:p>
            <w:pPr>
              <w:widowControl/>
              <w:jc w:val="center"/>
              <w:rPr>
                <w:rFonts w:ascii="宋体" w:hAnsi="宋体" w:cs="宋体"/>
                <w:kern w:val="0"/>
                <w:sz w:val="20"/>
              </w:rPr>
            </w:pPr>
          </w:p>
        </w:tc>
        <w:tc>
          <w:tcPr>
            <w:tcW w:w="1725" w:type="dxa"/>
            <w:shd w:val="clear" w:color="auto" w:fill="FFFFFF"/>
            <w:noWrap/>
            <w:vAlign w:val="center"/>
          </w:tcPr>
          <w:p>
            <w:pPr>
              <w:widowControl/>
              <w:jc w:val="left"/>
              <w:rPr>
                <w:rFonts w:ascii="宋体" w:hAnsi="宋体" w:cs="宋体"/>
                <w:kern w:val="0"/>
                <w:sz w:val="20"/>
              </w:rPr>
            </w:pP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13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229.18</w:t>
            </w:r>
          </w:p>
        </w:tc>
        <w:tc>
          <w:tcPr>
            <w:tcW w:w="17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229.18</w:t>
            </w:r>
          </w:p>
        </w:tc>
        <w:tc>
          <w:tcPr>
            <w:tcW w:w="115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229.18</w:t>
            </w:r>
          </w:p>
        </w:tc>
        <w:tc>
          <w:tcPr>
            <w:tcW w:w="1271" w:type="dxa"/>
            <w:shd w:val="clear" w:color="auto" w:fill="FFFFFF"/>
            <w:noWrap/>
            <w:vAlign w:val="center"/>
          </w:tcPr>
          <w:p>
            <w:pPr>
              <w:widowControl/>
              <w:jc w:val="center"/>
              <w:rPr>
                <w:rFonts w:ascii="宋体" w:hAnsi="宋体" w:eastAsia="宋体" w:cs="宋体"/>
                <w:kern w:val="0"/>
                <w:sz w:val="20"/>
                <w:lang w:val="en-US" w:eastAsia="zh-CN" w:bidi="ar-SA"/>
              </w:rPr>
            </w:pPr>
          </w:p>
        </w:tc>
      </w:tr>
    </w:tbl>
    <w:p>
      <w:r>
        <w:br w:type="page"/>
      </w:r>
    </w:p>
    <w:tbl>
      <w:tblPr>
        <w:tblStyle w:val="6"/>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731"/>
        <w:gridCol w:w="1409"/>
        <w:gridCol w:w="1409"/>
        <w:gridCol w:w="1411"/>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98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22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73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0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0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1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980"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229.12</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229.12</w:t>
            </w:r>
          </w:p>
        </w:tc>
        <w:tc>
          <w:tcPr>
            <w:tcW w:w="14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36.60</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36.60</w:t>
            </w:r>
          </w:p>
        </w:tc>
        <w:tc>
          <w:tcPr>
            <w:tcW w:w="14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35.10</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35.10</w:t>
            </w:r>
          </w:p>
        </w:tc>
        <w:tc>
          <w:tcPr>
            <w:tcW w:w="14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17.76</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17.76</w:t>
            </w:r>
          </w:p>
        </w:tc>
        <w:tc>
          <w:tcPr>
            <w:tcW w:w="14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8.88</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8.88</w:t>
            </w:r>
          </w:p>
        </w:tc>
        <w:tc>
          <w:tcPr>
            <w:tcW w:w="14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8.46</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8.46</w:t>
            </w:r>
          </w:p>
        </w:tc>
        <w:tc>
          <w:tcPr>
            <w:tcW w:w="14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1.51</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1.51</w:t>
            </w:r>
          </w:p>
        </w:tc>
        <w:tc>
          <w:tcPr>
            <w:tcW w:w="14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1.51</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1.51</w:t>
            </w:r>
          </w:p>
        </w:tc>
        <w:tc>
          <w:tcPr>
            <w:tcW w:w="14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17.78</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17.78</w:t>
            </w:r>
          </w:p>
        </w:tc>
        <w:tc>
          <w:tcPr>
            <w:tcW w:w="14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17.78</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17.78</w:t>
            </w:r>
          </w:p>
        </w:tc>
        <w:tc>
          <w:tcPr>
            <w:tcW w:w="14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事业单位医疗</w:t>
            </w:r>
            <w:r>
              <w:rPr>
                <w:rFonts w:hint="eastAsia" w:ascii="宋体" w:hAnsi="宋体" w:cs="宋体"/>
                <w:kern w:val="0"/>
                <w:sz w:val="20"/>
              </w:rPr>
              <w:t>　</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9.19</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9.19</w:t>
            </w:r>
          </w:p>
        </w:tc>
        <w:tc>
          <w:tcPr>
            <w:tcW w:w="14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8.59</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8.59</w:t>
            </w:r>
          </w:p>
        </w:tc>
        <w:tc>
          <w:tcPr>
            <w:tcW w:w="14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213</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农林水支出</w:t>
            </w:r>
            <w:r>
              <w:rPr>
                <w:rFonts w:hint="eastAsia" w:ascii="宋体" w:hAnsi="宋体" w:cs="宋体"/>
                <w:kern w:val="0"/>
                <w:sz w:val="20"/>
              </w:rPr>
              <w:t>　</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157.94</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157.94</w:t>
            </w:r>
          </w:p>
        </w:tc>
        <w:tc>
          <w:tcPr>
            <w:tcW w:w="14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林业和草原</w:t>
            </w:r>
            <w:r>
              <w:rPr>
                <w:rFonts w:hint="eastAsia" w:ascii="宋体" w:hAnsi="宋体" w:cs="宋体"/>
                <w:kern w:val="0"/>
                <w:sz w:val="20"/>
              </w:rPr>
              <w:t>　</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157.94</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157.94</w:t>
            </w:r>
          </w:p>
        </w:tc>
        <w:tc>
          <w:tcPr>
            <w:tcW w:w="14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04</w:t>
            </w:r>
          </w:p>
        </w:tc>
        <w:tc>
          <w:tcPr>
            <w:tcW w:w="3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事业机构</w:t>
            </w:r>
            <w:r>
              <w:rPr>
                <w:rFonts w:hint="eastAsia" w:ascii="宋体" w:hAnsi="宋体" w:cs="宋体"/>
                <w:kern w:val="0"/>
                <w:sz w:val="20"/>
              </w:rPr>
              <w:t>　</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157.94</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157.94</w:t>
            </w:r>
          </w:p>
        </w:tc>
        <w:tc>
          <w:tcPr>
            <w:tcW w:w="14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16.80</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16.80</w:t>
            </w:r>
          </w:p>
        </w:tc>
        <w:tc>
          <w:tcPr>
            <w:tcW w:w="14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16.80</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16.80</w:t>
            </w:r>
          </w:p>
        </w:tc>
        <w:tc>
          <w:tcPr>
            <w:tcW w:w="14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7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16.80</w:t>
            </w:r>
          </w:p>
        </w:tc>
        <w:tc>
          <w:tcPr>
            <w:tcW w:w="14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16.80</w:t>
            </w:r>
          </w:p>
        </w:tc>
        <w:tc>
          <w:tcPr>
            <w:tcW w:w="14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6"/>
        <w:tblW w:w="11245" w:type="dxa"/>
        <w:jc w:val="center"/>
        <w:tblLayout w:type="fixed"/>
        <w:tblCellMar>
          <w:top w:w="0" w:type="dxa"/>
          <w:left w:w="108" w:type="dxa"/>
          <w:bottom w:w="0" w:type="dxa"/>
          <w:right w:w="108" w:type="dxa"/>
        </w:tblCellMar>
      </w:tblPr>
      <w:tblGrid>
        <w:gridCol w:w="650"/>
        <w:gridCol w:w="650"/>
        <w:gridCol w:w="3215"/>
        <w:gridCol w:w="2243"/>
        <w:gridCol w:w="2243"/>
        <w:gridCol w:w="2244"/>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515"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673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21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24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24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24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32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2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2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2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515"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229.12</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223.20</w:t>
            </w:r>
          </w:p>
        </w:tc>
        <w:tc>
          <w:tcPr>
            <w:tcW w:w="2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5.92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2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212.53</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212.53</w:t>
            </w:r>
          </w:p>
        </w:tc>
        <w:tc>
          <w:tcPr>
            <w:tcW w:w="2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2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45.09</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45.09</w:t>
            </w:r>
          </w:p>
        </w:tc>
        <w:tc>
          <w:tcPr>
            <w:tcW w:w="2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2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42.14</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42.14</w:t>
            </w:r>
          </w:p>
        </w:tc>
        <w:tc>
          <w:tcPr>
            <w:tcW w:w="2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2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绩效工资</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56.79</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56.79</w:t>
            </w:r>
          </w:p>
        </w:tc>
        <w:tc>
          <w:tcPr>
            <w:tcW w:w="2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2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17.76</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17.76</w:t>
            </w:r>
          </w:p>
        </w:tc>
        <w:tc>
          <w:tcPr>
            <w:tcW w:w="2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32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8.88</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8.88</w:t>
            </w:r>
          </w:p>
        </w:tc>
        <w:tc>
          <w:tcPr>
            <w:tcW w:w="2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32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6.99</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6.99</w:t>
            </w:r>
          </w:p>
        </w:tc>
        <w:tc>
          <w:tcPr>
            <w:tcW w:w="2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2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8.59</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8.59</w:t>
            </w:r>
          </w:p>
        </w:tc>
        <w:tc>
          <w:tcPr>
            <w:tcW w:w="2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32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1.51</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1.51</w:t>
            </w:r>
          </w:p>
        </w:tc>
        <w:tc>
          <w:tcPr>
            <w:tcW w:w="2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32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16.80</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16.80</w:t>
            </w:r>
          </w:p>
        </w:tc>
        <w:tc>
          <w:tcPr>
            <w:tcW w:w="2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2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其他工资福利支出</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8.00</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8.00</w:t>
            </w:r>
          </w:p>
        </w:tc>
        <w:tc>
          <w:tcPr>
            <w:tcW w:w="2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2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5.92</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5.92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2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0.27</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0.27</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2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0.18</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32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0.18</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2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0.45</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2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0.90</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0.90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2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0.36</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32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0.18</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32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2.15</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32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公务用车运行维护费</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0.80</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2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0.45</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2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10.66</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10.66</w:t>
            </w:r>
          </w:p>
        </w:tc>
        <w:tc>
          <w:tcPr>
            <w:tcW w:w="2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2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8.46</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8.46</w:t>
            </w:r>
          </w:p>
        </w:tc>
        <w:tc>
          <w:tcPr>
            <w:tcW w:w="2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2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2.20</w:t>
            </w:r>
          </w:p>
        </w:tc>
        <w:tc>
          <w:tcPr>
            <w:tcW w:w="22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2.20</w:t>
            </w:r>
          </w:p>
        </w:tc>
        <w:tc>
          <w:tcPr>
            <w:tcW w:w="2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6"/>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G6"/>
            <w:bookmarkEnd w:id="1"/>
            <w:bookmarkStart w:id="2" w:name="RANGE!A1:F15"/>
            <w:bookmarkEnd w:id="2"/>
            <w:bookmarkStart w:id="3" w:name="RANGE!A1:F62"/>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0.98</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0.80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0.80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0.18</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0.98</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0.80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0.80</w:t>
            </w:r>
          </w:p>
        </w:tc>
        <w:tc>
          <w:tcPr>
            <w:tcW w:w="972"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0.18</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6"/>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湟源县东峡国有林场2023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湟源县东峡国有林场</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一般公共预算拨款收入229.12万元，上年结转0.06万元</w:t>
      </w:r>
      <w:r>
        <w:rPr>
          <w:rFonts w:hint="eastAsia" w:ascii="仿宋_GB2312" w:eastAsia="仿宋_GB2312"/>
          <w:sz w:val="32"/>
          <w:szCs w:val="32"/>
        </w:rPr>
        <w:t>；支出包括：</w:t>
      </w:r>
      <w:r>
        <w:rPr>
          <w:rFonts w:hint="eastAsia" w:ascii="仿宋_GB2312" w:eastAsia="仿宋_GB2312"/>
          <w:sz w:val="32"/>
          <w:szCs w:val="32"/>
          <w:lang w:val="en-US" w:eastAsia="zh-CN"/>
        </w:rPr>
        <w:t>社会保障和就业支出36.60万元，卫生健康支出17.78万元，农林水支出158.00万元，住房保障支出16.80万元</w:t>
      </w:r>
      <w:r>
        <w:rPr>
          <w:rFonts w:hint="eastAsia" w:ascii="仿宋_GB2312" w:eastAsia="仿宋_GB2312"/>
          <w:sz w:val="32"/>
          <w:szCs w:val="32"/>
        </w:rPr>
        <w:t>。</w:t>
      </w:r>
      <w:r>
        <w:rPr>
          <w:rFonts w:hint="eastAsia" w:ascii="仿宋_GB2312" w:eastAsia="仿宋_GB2312"/>
          <w:sz w:val="32"/>
          <w:szCs w:val="32"/>
          <w:lang w:val="en-US" w:eastAsia="zh-CN"/>
        </w:rPr>
        <w:t>湟源县东峡国有林场2023</w:t>
      </w:r>
      <w:r>
        <w:rPr>
          <w:rFonts w:hint="eastAsia" w:ascii="仿宋_GB2312" w:eastAsia="仿宋_GB2312"/>
          <w:sz w:val="32"/>
          <w:szCs w:val="32"/>
        </w:rPr>
        <w:t>年收支总预算</w:t>
      </w:r>
      <w:r>
        <w:rPr>
          <w:rFonts w:hint="eastAsia" w:ascii="仿宋_GB2312" w:eastAsia="仿宋_GB2312"/>
          <w:sz w:val="32"/>
          <w:szCs w:val="32"/>
          <w:lang w:val="en-US" w:eastAsia="zh-CN"/>
        </w:rPr>
        <w:t>229.18</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湟源县东峡国有林场2023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湟源县东峡国有林场2023</w:t>
      </w:r>
      <w:r>
        <w:rPr>
          <w:rFonts w:hint="eastAsia" w:ascii="仿宋_GB2312" w:eastAsia="仿宋_GB2312"/>
          <w:sz w:val="32"/>
          <w:szCs w:val="32"/>
        </w:rPr>
        <w:t>年收入预算</w:t>
      </w:r>
      <w:r>
        <w:rPr>
          <w:rFonts w:hint="eastAsia" w:ascii="仿宋_GB2312" w:eastAsia="仿宋_GB2312"/>
          <w:sz w:val="32"/>
          <w:szCs w:val="32"/>
          <w:lang w:val="en-US" w:eastAsia="zh-CN"/>
        </w:rPr>
        <w:t>229.18</w:t>
      </w:r>
      <w:r>
        <w:rPr>
          <w:rFonts w:hint="eastAsia" w:ascii="仿宋_GB2312" w:eastAsia="仿宋_GB2312"/>
          <w:sz w:val="32"/>
          <w:szCs w:val="32"/>
        </w:rPr>
        <w:t>万元，其中：</w:t>
      </w:r>
      <w:r>
        <w:rPr>
          <w:rFonts w:hint="eastAsia" w:ascii="仿宋_GB2312" w:eastAsia="仿宋_GB2312"/>
          <w:sz w:val="32"/>
          <w:szCs w:val="32"/>
          <w:lang w:val="en-US" w:eastAsia="zh-CN"/>
        </w:rPr>
        <w:t>上年结转0.06万元，占0.03%；一般公共预算拨款收入229.12万元，占99.97%</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63.65pt;width:355.8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湟源县东峡国有林场2023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湟源县东峡国有林场2023</w:t>
      </w:r>
      <w:r>
        <w:rPr>
          <w:rFonts w:hint="eastAsia" w:ascii="仿宋_GB2312" w:eastAsia="仿宋_GB2312"/>
          <w:sz w:val="32"/>
          <w:szCs w:val="32"/>
        </w:rPr>
        <w:t>年支出预算</w:t>
      </w:r>
      <w:r>
        <w:rPr>
          <w:rFonts w:hint="eastAsia" w:ascii="仿宋_GB2312" w:eastAsia="仿宋_GB2312"/>
          <w:sz w:val="32"/>
          <w:szCs w:val="32"/>
          <w:lang w:val="en-US" w:eastAsia="zh-CN"/>
        </w:rPr>
        <w:t>229.18</w:t>
      </w:r>
      <w:r>
        <w:rPr>
          <w:rFonts w:hint="eastAsia" w:ascii="仿宋_GB2312" w:eastAsia="仿宋_GB2312"/>
          <w:sz w:val="32"/>
          <w:szCs w:val="32"/>
        </w:rPr>
        <w:t>万元，其中：</w:t>
      </w:r>
      <w:r>
        <w:rPr>
          <w:rFonts w:hint="eastAsia" w:ascii="仿宋_GB2312" w:eastAsia="仿宋_GB2312"/>
          <w:sz w:val="32"/>
          <w:szCs w:val="32"/>
          <w:lang w:val="en-US" w:eastAsia="zh-CN"/>
        </w:rPr>
        <w:t>基本支出229.12万元，占99.97%；项目支出0.06万元，占0.03%</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60.25pt;width:348.35pt;" filled="f" o:preferrelative="t" stroked="f" coordsize="21600,21600">
            <v:path/>
            <v:fill on="f" focussize="0,0"/>
            <v:stroke on="f"/>
            <v:imagedata r:id="rId8" o:title=""/>
            <o:lock v:ext="edit" aspectratio="t"/>
            <w10:wrap type="none"/>
            <w10:anchorlock/>
          </v:shape>
        </w:pic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湟源县东峡国有林场2023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湟源县东峡国有林场2023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229.18</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增加17.07</w:t>
      </w:r>
      <w:r>
        <w:rPr>
          <w:rFonts w:hint="eastAsia" w:ascii="仿宋_GB2312" w:eastAsia="仿宋_GB2312"/>
          <w:sz w:val="32"/>
          <w:szCs w:val="32"/>
        </w:rPr>
        <w:t>万元，主要是</w:t>
      </w:r>
      <w:r>
        <w:rPr>
          <w:rFonts w:hint="eastAsia" w:ascii="仿宋_GB2312" w:eastAsia="仿宋_GB2312"/>
          <w:sz w:val="32"/>
          <w:szCs w:val="32"/>
          <w:lang w:val="en-US" w:eastAsia="zh-CN"/>
        </w:rPr>
        <w:t>本年度项目增加</w:t>
      </w:r>
      <w:r>
        <w:rPr>
          <w:rFonts w:hint="eastAsia" w:ascii="仿宋_GB2312" w:eastAsia="仿宋_GB2312"/>
          <w:sz w:val="32"/>
          <w:szCs w:val="32"/>
        </w:rPr>
        <w:t>。收入包括：</w:t>
      </w:r>
      <w:r>
        <w:rPr>
          <w:rFonts w:hint="eastAsia" w:ascii="仿宋_GB2312" w:eastAsia="仿宋_GB2312"/>
          <w:sz w:val="32"/>
          <w:szCs w:val="32"/>
          <w:lang w:val="en-US" w:eastAsia="zh-CN"/>
        </w:rPr>
        <w:t>一般公共预算拨款收入229.12万元，上年结转0.06万元；政府性基金预算拨款收入0.00万元，上年结转0.00万元</w:t>
      </w:r>
      <w:r>
        <w:rPr>
          <w:rFonts w:hint="eastAsia" w:ascii="仿宋_GB2312" w:eastAsia="仿宋_GB2312"/>
          <w:sz w:val="32"/>
          <w:szCs w:val="32"/>
        </w:rPr>
        <w:t>。支出包括：</w:t>
      </w:r>
      <w:r>
        <w:rPr>
          <w:rFonts w:hint="eastAsia" w:ascii="仿宋_GB2312" w:eastAsia="仿宋_GB2312"/>
          <w:sz w:val="32"/>
          <w:szCs w:val="32"/>
          <w:lang w:val="en-US" w:eastAsia="zh-CN"/>
        </w:rPr>
        <w:t> 社会保障和就业支出36.60万元， 卫生健康支出17.78万元， 农林水支出158.00万元， 住房保障支出16.80万元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7" o:spt="75" type="#_x0000_t75" style="height:165.75pt;width:360.35pt;" filled="f" o:preferrelative="t" stroked="f" coordsize="21600,21600">
            <v:path/>
            <v:fill on="f" focussize="0,0"/>
            <v:stroke on="f"/>
            <v:imagedata r:id="rId9"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湟源县东峡国有林场2023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eastAsia" w:ascii="仿宋_GB2312" w:eastAsia="仿宋_GB2312"/>
          <w:i w:val="0"/>
          <w:iCs/>
          <w:sz w:val="32"/>
          <w:szCs w:val="32"/>
          <w:highlight w:val="none"/>
          <w:u w:val="none"/>
          <w:lang w:eastAsia="zh-CN"/>
        </w:rPr>
      </w:pPr>
      <w:r>
        <w:rPr>
          <w:rFonts w:hint="eastAsia" w:ascii="仿宋_GB2312" w:eastAsia="仿宋_GB2312"/>
          <w:sz w:val="32"/>
          <w:szCs w:val="32"/>
          <w:lang w:val="en-US" w:eastAsia="zh-CN"/>
        </w:rPr>
        <w:t>湟源县东峡国有林场2023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229.12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增加17.21</w:t>
      </w:r>
      <w:r>
        <w:rPr>
          <w:rFonts w:hint="eastAsia" w:ascii="仿宋_GB2312" w:eastAsia="仿宋_GB2312"/>
          <w:sz w:val="32"/>
          <w:szCs w:val="32"/>
        </w:rPr>
        <w:t>万元，主要是</w:t>
      </w:r>
      <w:r>
        <w:rPr>
          <w:rFonts w:hint="eastAsia" w:ascii="仿宋_GB2312" w:eastAsia="仿宋_GB2312"/>
          <w:sz w:val="32"/>
          <w:szCs w:val="32"/>
          <w:lang w:val="en-US" w:eastAsia="zh-CN"/>
        </w:rPr>
        <w:t>本年度项目增加</w:t>
      </w:r>
      <w:r>
        <w:rPr>
          <w:rFonts w:hint="eastAsia" w:ascii="仿宋_GB2312" w:eastAsia="仿宋_GB2312"/>
          <w:i w:val="0"/>
          <w:iCs/>
          <w:sz w:val="32"/>
          <w:szCs w:val="32"/>
          <w:highlight w:val="none"/>
          <w:u w:val="none"/>
          <w:lang w:eastAsia="zh-CN"/>
        </w:rPr>
        <w:t>。</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pict>
          <v:shape id="_x0000_i1028" o:spt="75" type="#_x0000_t75" style="height:119.4pt;width:349.1pt;" filled="f" o:preferrelative="t" stroked="f" coordsize="21600,21600">
            <v:path/>
            <v:fill on="f" focussize="0,0"/>
            <v:stroke on="f"/>
            <v:imagedata r:id="rId10"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社会保障和就业支出36.60万元，占15.97%；卫生健康支出17.78万元，占7.76%；农林水支出157.94万元，占68.93%；住房保障支出16.80万元，占7.33%</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9" o:spt="75" type="#_x0000_t75" style="height:160.75pt;width:349.45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17.76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增加3.33</w:t>
      </w:r>
      <w:r>
        <w:rPr>
          <w:rFonts w:hint="eastAsia" w:ascii="仿宋_GB2312" w:eastAsia="仿宋_GB2312"/>
          <w:sz w:val="32"/>
          <w:szCs w:val="32"/>
        </w:rPr>
        <w:t>万元，</w:t>
      </w:r>
      <w:r>
        <w:rPr>
          <w:rFonts w:hint="eastAsia" w:ascii="仿宋_GB2312" w:eastAsia="仿宋_GB2312"/>
          <w:sz w:val="32"/>
          <w:szCs w:val="32"/>
          <w:lang w:val="en-US" w:eastAsia="zh-CN"/>
        </w:rPr>
        <w:t>增长23.08</w:t>
      </w:r>
      <w:r>
        <w:rPr>
          <w:rFonts w:hint="eastAsia" w:ascii="仿宋_GB2312" w:eastAsia="仿宋_GB2312"/>
          <w:sz w:val="32"/>
          <w:szCs w:val="32"/>
        </w:rPr>
        <w:t>%。主要是</w:t>
      </w:r>
      <w:r>
        <w:rPr>
          <w:rFonts w:hint="eastAsia" w:ascii="仿宋_GB2312" w:eastAsia="仿宋_GB2312"/>
          <w:sz w:val="32"/>
          <w:szCs w:val="32"/>
          <w:lang w:val="en-US" w:eastAsia="zh-CN"/>
        </w:rPr>
        <w:t>养老保险基数增加。</w:t>
      </w:r>
    </w:p>
    <w:p>
      <w:pPr>
        <w:ind w:firstLine="645"/>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8.88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增加1.67</w:t>
      </w:r>
      <w:r>
        <w:rPr>
          <w:rFonts w:hint="eastAsia" w:ascii="仿宋_GB2312" w:eastAsia="仿宋_GB2312"/>
          <w:sz w:val="32"/>
          <w:szCs w:val="32"/>
        </w:rPr>
        <w:t>万元，</w:t>
      </w:r>
      <w:r>
        <w:rPr>
          <w:rFonts w:hint="eastAsia" w:ascii="仿宋_GB2312" w:eastAsia="仿宋_GB2312"/>
          <w:sz w:val="32"/>
          <w:szCs w:val="32"/>
          <w:lang w:val="en-US" w:eastAsia="zh-CN"/>
        </w:rPr>
        <w:t>增长23.16</w:t>
      </w:r>
      <w:r>
        <w:rPr>
          <w:rFonts w:hint="eastAsia" w:ascii="仿宋_GB2312" w:eastAsia="仿宋_GB2312"/>
          <w:sz w:val="32"/>
          <w:szCs w:val="32"/>
        </w:rPr>
        <w:t>%。主要是</w:t>
      </w:r>
      <w:r>
        <w:rPr>
          <w:rFonts w:hint="eastAsia" w:ascii="仿宋_GB2312" w:eastAsia="仿宋_GB2312"/>
          <w:sz w:val="32"/>
          <w:szCs w:val="32"/>
          <w:lang w:val="en-US" w:eastAsia="zh-CN"/>
        </w:rPr>
        <w:t>养老保险基数增加。</w:t>
      </w:r>
    </w:p>
    <w:p>
      <w:pPr>
        <w:ind w:firstLine="645"/>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其他行政事业单位养老支出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8.46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增加4.13</w:t>
      </w:r>
      <w:r>
        <w:rPr>
          <w:rFonts w:hint="eastAsia" w:ascii="仿宋_GB2312" w:eastAsia="仿宋_GB2312"/>
          <w:sz w:val="32"/>
          <w:szCs w:val="32"/>
        </w:rPr>
        <w:t>万元，</w:t>
      </w:r>
      <w:r>
        <w:rPr>
          <w:rFonts w:hint="eastAsia" w:ascii="仿宋_GB2312" w:eastAsia="仿宋_GB2312"/>
          <w:sz w:val="32"/>
          <w:szCs w:val="32"/>
          <w:lang w:val="en-US" w:eastAsia="zh-CN"/>
        </w:rPr>
        <w:t>增长95.38</w:t>
      </w:r>
      <w:r>
        <w:rPr>
          <w:rFonts w:hint="eastAsia" w:ascii="仿宋_GB2312" w:eastAsia="仿宋_GB2312"/>
          <w:sz w:val="32"/>
          <w:szCs w:val="32"/>
        </w:rPr>
        <w:t>%。主要是</w:t>
      </w:r>
      <w:r>
        <w:rPr>
          <w:rFonts w:hint="eastAsia" w:ascii="仿宋_GB2312" w:eastAsia="仿宋_GB2312"/>
          <w:sz w:val="32"/>
          <w:szCs w:val="32"/>
          <w:lang w:val="en-US" w:eastAsia="zh-CN"/>
        </w:rPr>
        <w:t>退休人员增加。</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（款）</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1.51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减少0.06</w:t>
      </w:r>
      <w:r>
        <w:rPr>
          <w:rFonts w:hint="eastAsia" w:ascii="仿宋_GB2312" w:eastAsia="仿宋_GB2312"/>
          <w:sz w:val="32"/>
          <w:szCs w:val="32"/>
        </w:rPr>
        <w:t>万元，</w:t>
      </w:r>
      <w:r>
        <w:rPr>
          <w:rFonts w:hint="eastAsia" w:ascii="仿宋_GB2312" w:eastAsia="仿宋_GB2312"/>
          <w:sz w:val="32"/>
          <w:szCs w:val="32"/>
          <w:lang w:val="en-US" w:eastAsia="zh-CN"/>
        </w:rPr>
        <w:t>下降3.82</w:t>
      </w:r>
      <w:r>
        <w:rPr>
          <w:rFonts w:hint="eastAsia" w:ascii="仿宋_GB2312" w:eastAsia="仿宋_GB2312"/>
          <w:sz w:val="32"/>
          <w:szCs w:val="32"/>
        </w:rPr>
        <w:t>%。主要</w:t>
      </w:r>
      <w:r>
        <w:rPr>
          <w:rFonts w:hint="eastAsia" w:ascii="仿宋_GB2312" w:eastAsia="仿宋_GB2312"/>
          <w:sz w:val="32"/>
          <w:szCs w:val="32"/>
          <w:highlight w:val="none"/>
        </w:rPr>
        <w:t>是</w:t>
      </w:r>
      <w:r>
        <w:rPr>
          <w:rFonts w:hint="eastAsia" w:ascii="仿宋_GB2312" w:eastAsia="仿宋_GB2312"/>
          <w:sz w:val="32"/>
          <w:szCs w:val="32"/>
          <w:highlight w:val="none"/>
          <w:lang w:val="en-US" w:eastAsia="zh-CN"/>
        </w:rPr>
        <w:t>退休人员增加。</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highlight w:val="none"/>
        </w:rPr>
        <w:t>5、</w:t>
      </w:r>
      <w:r>
        <w:rPr>
          <w:rFonts w:hint="eastAsia" w:ascii="仿宋_GB2312" w:eastAsia="仿宋_GB2312"/>
          <w:sz w:val="32"/>
          <w:szCs w:val="32"/>
          <w:highlight w:val="none"/>
          <w:lang w:val="en-US" w:eastAsia="zh-CN"/>
        </w:rPr>
        <w:t>卫生健康支出</w:t>
      </w:r>
      <w:r>
        <w:rPr>
          <w:rFonts w:hint="eastAsia" w:ascii="仿宋_GB2312" w:eastAsia="仿宋_GB2312"/>
          <w:sz w:val="32"/>
          <w:szCs w:val="32"/>
          <w:highlight w:val="none"/>
        </w:rPr>
        <w:t>（类）</w:t>
      </w:r>
      <w:r>
        <w:rPr>
          <w:rFonts w:hint="eastAsia" w:ascii="仿宋_GB2312" w:eastAsia="仿宋_GB2312"/>
          <w:sz w:val="32"/>
          <w:szCs w:val="32"/>
          <w:highlight w:val="none"/>
          <w:lang w:val="en-US" w:eastAsia="zh-CN"/>
        </w:rPr>
        <w:t>行政事业单位医疗</w:t>
      </w:r>
      <w:r>
        <w:rPr>
          <w:rFonts w:hint="eastAsia" w:ascii="仿宋_GB2312" w:eastAsia="仿宋_GB2312"/>
          <w:sz w:val="32"/>
          <w:szCs w:val="32"/>
          <w:highlight w:val="none"/>
        </w:rPr>
        <w:t>（款）</w:t>
      </w:r>
      <w:r>
        <w:rPr>
          <w:rFonts w:hint="eastAsia" w:ascii="仿宋_GB2312" w:eastAsia="仿宋_GB2312"/>
          <w:sz w:val="32"/>
          <w:szCs w:val="32"/>
          <w:highlight w:val="none"/>
          <w:lang w:val="en-US" w:eastAsia="zh-CN"/>
        </w:rPr>
        <w:t>事业单位医疗</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年预算数为</w:t>
      </w:r>
      <w:r>
        <w:rPr>
          <w:rFonts w:hint="eastAsia" w:ascii="仿宋_GB2312" w:eastAsia="仿宋_GB2312"/>
          <w:sz w:val="32"/>
          <w:szCs w:val="32"/>
          <w:highlight w:val="none"/>
          <w:lang w:val="en-US" w:eastAsia="zh-CN"/>
        </w:rPr>
        <w:t>9.19</w:t>
      </w:r>
      <w:r>
        <w:rPr>
          <w:rFonts w:hint="eastAsia" w:ascii="仿宋_GB2312" w:eastAsia="仿宋_GB2312"/>
          <w:sz w:val="32"/>
          <w:szCs w:val="32"/>
          <w:highlight w:val="none"/>
        </w:rPr>
        <w:t>万元，比上年</w:t>
      </w:r>
      <w:r>
        <w:rPr>
          <w:rFonts w:hint="eastAsia" w:ascii="仿宋_GB2312" w:eastAsia="仿宋_GB2312"/>
          <w:sz w:val="32"/>
          <w:szCs w:val="32"/>
          <w:highlight w:val="none"/>
          <w:lang w:val="en-US" w:eastAsia="zh-CN"/>
        </w:rPr>
        <w:t>减少2.59</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下降21.99</w:t>
      </w:r>
      <w:r>
        <w:rPr>
          <w:rFonts w:hint="eastAsia" w:ascii="仿宋_GB2312" w:eastAsia="仿宋_GB2312"/>
          <w:sz w:val="32"/>
          <w:szCs w:val="32"/>
          <w:highlight w:val="none"/>
        </w:rPr>
        <w:t>%。主要是</w:t>
      </w:r>
      <w:r>
        <w:rPr>
          <w:rFonts w:hint="eastAsia" w:ascii="仿宋_GB2312" w:eastAsia="仿宋_GB2312"/>
          <w:sz w:val="32"/>
          <w:szCs w:val="32"/>
          <w:highlight w:val="none"/>
          <w:lang w:val="en-US" w:eastAsia="zh-CN"/>
        </w:rPr>
        <w:t>退休人员增加。</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highlight w:val="none"/>
        </w:rPr>
        <w:t>6、</w:t>
      </w:r>
      <w:r>
        <w:rPr>
          <w:rFonts w:hint="eastAsia" w:ascii="仿宋_GB2312" w:eastAsia="仿宋_GB2312"/>
          <w:sz w:val="32"/>
          <w:szCs w:val="32"/>
          <w:highlight w:val="none"/>
          <w:lang w:val="en-US" w:eastAsia="zh-CN"/>
        </w:rPr>
        <w:t>卫生健康支出</w:t>
      </w:r>
      <w:r>
        <w:rPr>
          <w:rFonts w:hint="eastAsia" w:ascii="仿宋_GB2312" w:eastAsia="仿宋_GB2312"/>
          <w:sz w:val="32"/>
          <w:szCs w:val="32"/>
          <w:highlight w:val="none"/>
        </w:rPr>
        <w:t>（类）</w:t>
      </w:r>
      <w:r>
        <w:rPr>
          <w:rFonts w:hint="eastAsia" w:ascii="仿宋_GB2312" w:eastAsia="仿宋_GB2312"/>
          <w:sz w:val="32"/>
          <w:szCs w:val="32"/>
          <w:highlight w:val="none"/>
          <w:lang w:val="en-US" w:eastAsia="zh-CN"/>
        </w:rPr>
        <w:t>行政事业单位医疗</w:t>
      </w:r>
      <w:r>
        <w:rPr>
          <w:rFonts w:hint="eastAsia" w:ascii="仿宋_GB2312" w:eastAsia="仿宋_GB2312"/>
          <w:sz w:val="32"/>
          <w:szCs w:val="32"/>
          <w:highlight w:val="none"/>
        </w:rPr>
        <w:t>（款）</w:t>
      </w:r>
      <w:r>
        <w:rPr>
          <w:rFonts w:hint="eastAsia" w:ascii="仿宋_GB2312" w:eastAsia="仿宋_GB2312"/>
          <w:sz w:val="32"/>
          <w:szCs w:val="32"/>
          <w:highlight w:val="none"/>
          <w:lang w:val="en-US" w:eastAsia="zh-CN"/>
        </w:rPr>
        <w:t>公务员医疗补助</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年预算数为</w:t>
      </w:r>
      <w:r>
        <w:rPr>
          <w:rFonts w:hint="eastAsia" w:ascii="仿宋_GB2312" w:eastAsia="仿宋_GB2312"/>
          <w:sz w:val="32"/>
          <w:szCs w:val="32"/>
          <w:highlight w:val="none"/>
          <w:lang w:val="en-US" w:eastAsia="zh-CN"/>
        </w:rPr>
        <w:t>8.59</w:t>
      </w:r>
      <w:r>
        <w:rPr>
          <w:rFonts w:hint="eastAsia" w:ascii="仿宋_GB2312" w:eastAsia="仿宋_GB2312"/>
          <w:sz w:val="32"/>
          <w:szCs w:val="32"/>
          <w:highlight w:val="none"/>
        </w:rPr>
        <w:t>万元，比上年</w:t>
      </w:r>
      <w:r>
        <w:rPr>
          <w:rFonts w:hint="eastAsia" w:ascii="仿宋_GB2312" w:eastAsia="仿宋_GB2312"/>
          <w:sz w:val="32"/>
          <w:szCs w:val="32"/>
          <w:highlight w:val="none"/>
          <w:lang w:val="en-US" w:eastAsia="zh-CN"/>
        </w:rPr>
        <w:t>减少0.35</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下降3.91</w:t>
      </w:r>
      <w:r>
        <w:rPr>
          <w:rFonts w:hint="eastAsia" w:ascii="仿宋_GB2312" w:eastAsia="仿宋_GB2312"/>
          <w:sz w:val="32"/>
          <w:szCs w:val="32"/>
          <w:highlight w:val="none"/>
        </w:rPr>
        <w:t>%。主要是</w:t>
      </w:r>
      <w:r>
        <w:rPr>
          <w:rFonts w:hint="eastAsia" w:ascii="仿宋_GB2312" w:eastAsia="仿宋_GB2312"/>
          <w:sz w:val="32"/>
          <w:szCs w:val="32"/>
          <w:highlight w:val="none"/>
          <w:lang w:val="en-US" w:eastAsia="zh-CN"/>
        </w:rPr>
        <w:t>退休人员增加。</w:t>
      </w:r>
    </w:p>
    <w:p>
      <w:pPr>
        <w:ind w:firstLine="645"/>
        <w:rPr>
          <w:rFonts w:hint="eastAsia" w:ascii="仿宋_GB2312" w:eastAsia="仿宋_GB2312"/>
          <w:sz w:val="32"/>
          <w:szCs w:val="32"/>
          <w:lang w:val="en-US" w:eastAsia="zh-CN"/>
        </w:rPr>
      </w:pPr>
      <w:r>
        <w:rPr>
          <w:rFonts w:hint="eastAsia" w:ascii="仿宋_GB2312" w:eastAsia="仿宋_GB2312"/>
          <w:sz w:val="32"/>
          <w:szCs w:val="32"/>
        </w:rPr>
        <w:t>7、</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林业和草原</w:t>
      </w:r>
      <w:r>
        <w:rPr>
          <w:rFonts w:hint="eastAsia" w:ascii="仿宋_GB2312" w:eastAsia="仿宋_GB2312"/>
          <w:sz w:val="32"/>
          <w:szCs w:val="32"/>
        </w:rPr>
        <w:t>（款）</w:t>
      </w:r>
      <w:r>
        <w:rPr>
          <w:rFonts w:hint="eastAsia" w:ascii="仿宋_GB2312" w:eastAsia="仿宋_GB2312"/>
          <w:sz w:val="32"/>
          <w:szCs w:val="32"/>
          <w:lang w:val="en-US" w:eastAsia="zh-CN"/>
        </w:rPr>
        <w:t>事业机构</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157.94</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增加7.73</w:t>
      </w:r>
      <w:r>
        <w:rPr>
          <w:rFonts w:hint="eastAsia" w:ascii="仿宋_GB2312" w:eastAsia="仿宋_GB2312"/>
          <w:sz w:val="32"/>
          <w:szCs w:val="32"/>
        </w:rPr>
        <w:t>万元，</w:t>
      </w:r>
      <w:r>
        <w:rPr>
          <w:rFonts w:hint="eastAsia" w:ascii="仿宋_GB2312" w:eastAsia="仿宋_GB2312"/>
          <w:sz w:val="32"/>
          <w:szCs w:val="32"/>
          <w:lang w:val="en-US" w:eastAsia="zh-CN"/>
        </w:rPr>
        <w:t>增长5.15</w:t>
      </w:r>
      <w:r>
        <w:rPr>
          <w:rFonts w:hint="eastAsia" w:ascii="仿宋_GB2312" w:eastAsia="仿宋_GB2312"/>
          <w:sz w:val="32"/>
          <w:szCs w:val="32"/>
        </w:rPr>
        <w:t>%。主要是</w:t>
      </w:r>
      <w:r>
        <w:rPr>
          <w:rFonts w:hint="eastAsia" w:ascii="仿宋_GB2312" w:eastAsia="仿宋_GB2312"/>
          <w:sz w:val="32"/>
          <w:szCs w:val="32"/>
          <w:lang w:val="en-US" w:eastAsia="zh-CN"/>
        </w:rPr>
        <w:t>项目增加。</w:t>
      </w:r>
    </w:p>
    <w:p>
      <w:pPr>
        <w:ind w:firstLine="645"/>
        <w:rPr>
          <w:rFonts w:hint="eastAsia" w:ascii="仿宋_GB2312" w:eastAsia="仿宋_GB2312"/>
          <w:sz w:val="32"/>
          <w:szCs w:val="32"/>
          <w:lang w:val="en-US" w:eastAsia="zh-CN"/>
        </w:rPr>
      </w:pPr>
      <w:r>
        <w:rPr>
          <w:rFonts w:hint="eastAsia" w:ascii="仿宋_GB2312" w:eastAsia="仿宋_GB2312"/>
          <w:sz w:val="32"/>
          <w:szCs w:val="32"/>
        </w:rPr>
        <w:t>8、</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16.80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增加3.36</w:t>
      </w:r>
      <w:r>
        <w:rPr>
          <w:rFonts w:hint="eastAsia" w:ascii="仿宋_GB2312" w:eastAsia="仿宋_GB2312"/>
          <w:sz w:val="32"/>
          <w:szCs w:val="32"/>
        </w:rPr>
        <w:t>万元，</w:t>
      </w:r>
      <w:r>
        <w:rPr>
          <w:rFonts w:hint="eastAsia" w:ascii="仿宋_GB2312" w:eastAsia="仿宋_GB2312"/>
          <w:sz w:val="32"/>
          <w:szCs w:val="32"/>
          <w:lang w:val="en-US" w:eastAsia="zh-CN"/>
        </w:rPr>
        <w:t>增长25.00</w:t>
      </w:r>
      <w:r>
        <w:rPr>
          <w:rFonts w:hint="eastAsia" w:ascii="仿宋_GB2312" w:eastAsia="仿宋_GB2312"/>
          <w:sz w:val="32"/>
          <w:szCs w:val="32"/>
        </w:rPr>
        <w:t>%。主要是</w:t>
      </w:r>
      <w:r>
        <w:rPr>
          <w:rFonts w:hint="eastAsia" w:ascii="仿宋_GB2312" w:eastAsia="仿宋_GB2312"/>
          <w:sz w:val="32"/>
          <w:szCs w:val="32"/>
          <w:lang w:val="en-US" w:eastAsia="zh-CN"/>
        </w:rPr>
        <w:t>住房公积金基数增加</w:t>
      </w:r>
      <w:r>
        <w:rPr>
          <w:rFonts w:hint="eastAsia" w:ascii="仿宋_GB2312" w:eastAsia="仿宋_GB2312"/>
          <w:sz w:val="32"/>
          <w:szCs w:val="32"/>
          <w:highlight w:val="none"/>
          <w:lang w:val="en-US" w:eastAsia="zh-CN"/>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湟源县东峡国有林场2023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湟源县东峡国有林场2023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229.12</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223.20</w:t>
      </w:r>
      <w:r>
        <w:rPr>
          <w:rFonts w:hint="eastAsia" w:ascii="仿宋_GB2312" w:eastAsia="仿宋_GB2312"/>
          <w:sz w:val="32"/>
          <w:szCs w:val="32"/>
        </w:rPr>
        <w:t>万元，主要包括：</w:t>
      </w:r>
      <w:r>
        <w:rPr>
          <w:rFonts w:hint="eastAsia" w:ascii="仿宋_GB2312" w:eastAsia="仿宋_GB2312"/>
          <w:sz w:val="32"/>
          <w:szCs w:val="32"/>
          <w:lang w:val="en-US" w:eastAsia="zh-CN"/>
        </w:rPr>
        <w:t>基本工资45.09万元、津贴补贴42.14万元、绩效工资56.79万元、机关事业单位基本养老保险缴费17.76万元、职业年金缴费8.88万元、职工基本医疗保险缴费6.99万元、公务员医疗补助缴费8.59万元、其他社会保障缴费1.51万元、住房公积金16.80万元、其他工资福利支出8.00万元、退休费8.46万元、医疗费补助2.20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5.92</w:t>
      </w:r>
      <w:r>
        <w:rPr>
          <w:rFonts w:hint="eastAsia" w:ascii="仿宋_GB2312" w:eastAsia="仿宋_GB2312"/>
          <w:sz w:val="32"/>
          <w:szCs w:val="32"/>
        </w:rPr>
        <w:t>万元，主要包括：</w:t>
      </w:r>
      <w:r>
        <w:rPr>
          <w:rFonts w:hint="eastAsia" w:ascii="仿宋_GB2312" w:eastAsia="仿宋_GB2312"/>
          <w:sz w:val="32"/>
          <w:szCs w:val="32"/>
          <w:lang w:val="en-US" w:eastAsia="zh-CN"/>
        </w:rPr>
        <w:t>办公费0.27万元、水费0.18万元、电费0.18万元、邮电费0.45万元、取暖费0.90万元、差旅费0.36万元、公务接待费0.18万元、工会经费2.15万元、公务用车运行维护费0.80万元、其他商品和服务支出0.45万元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湟源县东峡国有林场2023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湟源县东峡国有林场2023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0.98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增加0.00</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0.80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万元；公务接待费</w:t>
      </w:r>
      <w:r>
        <w:rPr>
          <w:rFonts w:hint="eastAsia" w:ascii="仿宋_GB2312" w:eastAsia="仿宋_GB2312"/>
          <w:sz w:val="32"/>
          <w:szCs w:val="32"/>
          <w:lang w:val="en-US" w:eastAsia="zh-CN"/>
        </w:rPr>
        <w:t>0.18</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年“三公”经费预算</w:t>
      </w:r>
      <w:r>
        <w:rPr>
          <w:rFonts w:hint="eastAsia" w:ascii="仿宋_GB2312" w:eastAsia="仿宋_GB2312"/>
          <w:sz w:val="32"/>
          <w:szCs w:val="32"/>
          <w:highlight w:val="none"/>
          <w:lang w:val="en-US" w:eastAsia="zh-CN"/>
        </w:rPr>
        <w:t>与上年没有变化</w:t>
      </w:r>
      <w:r>
        <w:rPr>
          <w:rFonts w:hint="eastAsia" w:ascii="仿宋_GB2312" w:eastAsia="仿宋_GB2312"/>
          <w:sz w:val="32"/>
          <w:szCs w:val="32"/>
          <w:highlight w:val="none"/>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湟源县东峡国有林场2023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湟源县东峡国有林场2023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湟源县东峡国有林场</w:t>
      </w:r>
      <w:r>
        <w:rPr>
          <w:rFonts w:hint="eastAsia" w:ascii="仿宋_GB2312" w:hAnsi="仿宋" w:eastAsia="仿宋_GB2312"/>
          <w:spacing w:val="-6"/>
          <w:kern w:val="2"/>
          <w:sz w:val="32"/>
          <w:szCs w:val="32"/>
          <w:lang w:val="en-US"/>
        </w:rPr>
        <w:t>机关运行经费财政拨款预算5.92万元，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预算减少0.06万元，下降1.00%。主要是</w:t>
      </w:r>
      <w:r>
        <w:rPr>
          <w:rFonts w:hint="eastAsia" w:ascii="仿宋_GB2312" w:hAnsi="仿宋" w:eastAsia="仿宋_GB2312"/>
          <w:spacing w:val="-6"/>
          <w:kern w:val="2"/>
          <w:sz w:val="32"/>
          <w:szCs w:val="32"/>
          <w:lang w:val="en-US" w:eastAsia="zh-CN"/>
        </w:rPr>
        <w:t>工会费比上年减少</w:t>
      </w:r>
      <w:r>
        <w:rPr>
          <w:rFonts w:hint="eastAsia" w:ascii="仿宋_GB2312" w:hAnsi="仿宋" w:eastAsia="仿宋_GB2312"/>
          <w:spacing w:val="-6"/>
          <w:kern w:val="2"/>
          <w:sz w:val="32"/>
          <w:szCs w:val="32"/>
          <w:lang w:val="en-US"/>
        </w:rPr>
        <w:t>。</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湟源县东峡国有林场各单位</w:t>
      </w:r>
      <w:r>
        <w:rPr>
          <w:rFonts w:hint="eastAsia" w:ascii="仿宋_GB2312" w:hAnsi="仿宋" w:eastAsia="仿宋_GB2312"/>
          <w:spacing w:val="-6"/>
          <w:kern w:val="2"/>
          <w:sz w:val="32"/>
          <w:szCs w:val="32"/>
          <w:lang w:val="en-US"/>
        </w:rPr>
        <w:t>政府采购预算总额</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lang w:val="en-US"/>
        </w:rPr>
        <w:t>万元，其中：政府采购货物预算</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lang w:val="en-US"/>
        </w:rPr>
        <w:t>万元、政府采购工程预算</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lang w:val="en-US"/>
        </w:rPr>
        <w:t>万元、政府采购服务预算</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lang w:val="en-US"/>
        </w:rPr>
        <w:t>万元。</w:t>
      </w:r>
    </w:p>
    <w:p>
      <w:pPr>
        <w:adjustRightInd w:val="0"/>
        <w:snapToGrid w:val="0"/>
        <w:spacing w:line="560" w:lineRule="exact"/>
        <w:ind w:firstLine="619" w:firstLineChars="200"/>
        <w:rPr>
          <w:rFonts w:hint="eastAsia"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highlight w:val="none"/>
          <w:lang w:val="en-US"/>
        </w:rPr>
      </w:pPr>
      <w:r>
        <w:rPr>
          <w:rFonts w:hint="eastAsia" w:ascii="仿宋_GB2312" w:hAnsi="仿宋" w:eastAsia="仿宋_GB2312"/>
          <w:spacing w:val="-6"/>
          <w:kern w:val="2"/>
          <w:sz w:val="32"/>
          <w:szCs w:val="32"/>
          <w:lang w:val="en-US"/>
        </w:rPr>
        <w:t>截至2023年</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月底，</w:t>
      </w:r>
      <w:r>
        <w:rPr>
          <w:rFonts w:hint="eastAsia" w:ascii="仿宋_GB2312" w:hAnsi="仿宋" w:eastAsia="仿宋_GB2312"/>
          <w:spacing w:val="-6"/>
          <w:kern w:val="2"/>
          <w:sz w:val="32"/>
          <w:szCs w:val="32"/>
          <w:lang w:val="en-US" w:eastAsia="zh-CN"/>
        </w:rPr>
        <w:t>湟源县东峡国有林场所属各预算单位</w:t>
      </w:r>
      <w:r>
        <w:rPr>
          <w:rFonts w:hint="eastAsia" w:ascii="仿宋_GB2312" w:hAnsi="仿宋" w:eastAsia="仿宋_GB2312"/>
          <w:spacing w:val="-6"/>
          <w:kern w:val="2"/>
          <w:sz w:val="32"/>
          <w:szCs w:val="32"/>
          <w:lang w:val="en-US"/>
        </w:rPr>
        <w:t>共有车辆</w:t>
      </w:r>
      <w:r>
        <w:rPr>
          <w:rFonts w:hint="eastAsia" w:ascii="仿宋_GB2312" w:hAnsi="仿宋" w:eastAsia="仿宋_GB2312"/>
          <w:spacing w:val="-6"/>
          <w:kern w:val="2"/>
          <w:sz w:val="32"/>
          <w:szCs w:val="32"/>
          <w:highlight w:val="none"/>
          <w:lang w:val="en-US" w:eastAsia="zh-CN"/>
        </w:rPr>
        <w:t>1</w:t>
      </w:r>
      <w:r>
        <w:rPr>
          <w:rFonts w:hint="eastAsia" w:ascii="仿宋_GB2312" w:hAnsi="仿宋" w:eastAsia="仿宋_GB2312"/>
          <w:spacing w:val="-6"/>
          <w:kern w:val="2"/>
          <w:sz w:val="32"/>
          <w:szCs w:val="32"/>
          <w:highlight w:val="none"/>
          <w:lang w:val="en-US"/>
        </w:rPr>
        <w:t>辆，其中，省级领导干部用车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辆、厅级领导干部用车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辆、一般公务用车</w:t>
      </w:r>
      <w:r>
        <w:rPr>
          <w:rFonts w:hint="eastAsia" w:ascii="仿宋_GB2312" w:hAnsi="仿宋" w:eastAsia="仿宋_GB2312"/>
          <w:spacing w:val="-6"/>
          <w:kern w:val="2"/>
          <w:sz w:val="32"/>
          <w:szCs w:val="32"/>
          <w:highlight w:val="none"/>
          <w:lang w:val="en-US" w:eastAsia="zh-CN"/>
        </w:rPr>
        <w:t>1</w:t>
      </w:r>
      <w:r>
        <w:rPr>
          <w:rFonts w:hint="eastAsia" w:ascii="仿宋_GB2312" w:hAnsi="仿宋" w:eastAsia="仿宋_GB2312"/>
          <w:spacing w:val="-6"/>
          <w:kern w:val="2"/>
          <w:sz w:val="32"/>
          <w:szCs w:val="32"/>
          <w:highlight w:val="none"/>
          <w:lang w:val="en-US"/>
        </w:rPr>
        <w:t>辆、一般执法执勤用车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辆、特种专业技术用车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辆、其他用车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辆。单价50万元以上通用设备</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台（套），单价100万元以上专用设备</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sz w:val="32"/>
          <w:szCs w:val="32"/>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湟源县东峡国有林场</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0.00</w:t>
      </w:r>
      <w:r>
        <w:rPr>
          <w:rFonts w:hint="eastAsia" w:ascii="仿宋_GB2312" w:hAnsi="仿宋" w:eastAsia="仿宋_GB2312"/>
          <w:spacing w:val="-6"/>
          <w:kern w:val="2"/>
          <w:sz w:val="32"/>
          <w:szCs w:val="32"/>
          <w:lang w:val="en-US"/>
        </w:rPr>
        <w:t>万元。</w:t>
      </w: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二</w:t>
      </w:r>
      <w:r>
        <w:rPr>
          <w:rFonts w:hint="eastAsia" w:ascii="仿宋_GB2312" w:hAnsi="仿宋" w:eastAsia="仿宋_GB2312"/>
          <w:b/>
          <w:spacing w:val="-6"/>
          <w:sz w:val="32"/>
          <w:szCs w:val="32"/>
        </w:rPr>
        <w:t>）</w:t>
      </w:r>
      <w:r>
        <w:rPr>
          <w:rFonts w:ascii="仿宋_GB2312" w:hAnsi="仿宋" w:eastAsia="仿宋_GB2312"/>
          <w:b/>
          <w:spacing w:val="-6"/>
          <w:sz w:val="32"/>
          <w:szCs w:val="32"/>
        </w:rPr>
        <w:t>上年结转和结余：</w:t>
      </w:r>
      <w:r>
        <w:rPr>
          <w:rFonts w:ascii="仿宋_GB2312"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一</w:t>
      </w:r>
      <w:r>
        <w:rPr>
          <w:rFonts w:hint="eastAsia" w:ascii="仿宋_GB2312" w:eastAsia="仿宋_GB2312"/>
          <w:b/>
          <w:bCs/>
          <w:sz w:val="32"/>
          <w:szCs w:val="32"/>
          <w:lang w:eastAsia="zh-CN"/>
        </w:rPr>
        <w:t>）农林水支出（类）林业和草原（款）事业机构（项）：</w:t>
      </w:r>
      <w:r>
        <w:rPr>
          <w:rFonts w:hint="eastAsia" w:ascii="仿宋_GB2312" w:eastAsia="仿宋_GB2312"/>
          <w:sz w:val="32"/>
          <w:szCs w:val="32"/>
          <w:lang w:val="en-US" w:eastAsia="zh-CN"/>
        </w:rPr>
        <w:t>反映事业单位的基本支出，不包括行政单位（包括实行公务员管理的事业单位）后勤服务中心等附属事业单位。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二</w:t>
      </w:r>
      <w:r>
        <w:rPr>
          <w:rFonts w:hint="eastAsia" w:ascii="仿宋_GB2312" w:eastAsia="仿宋_GB2312"/>
          <w:b/>
          <w:bCs/>
          <w:sz w:val="32"/>
          <w:szCs w:val="32"/>
          <w:lang w:eastAsia="zh-CN"/>
        </w:rPr>
        <w:t>）社会保障和就业支出（类）行政事业单位养老支出（款）其他行政事业单位养老支出（项）：</w:t>
      </w:r>
      <w:r>
        <w:rPr>
          <w:rFonts w:hint="eastAsia" w:ascii="仿宋_GB2312" w:eastAsia="仿宋_GB2312"/>
          <w:b w:val="0"/>
          <w:bCs w:val="0"/>
          <w:sz w:val="32"/>
          <w:szCs w:val="32"/>
          <w:lang w:eastAsia="zh-CN"/>
        </w:rPr>
        <w:t>反映除上述项目以外其他用于行政事业单位养老方面的支出。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eastAsia="仿宋_GB2312"/>
          <w:lang w:eastAsia="zh-CN"/>
        </w:rPr>
      </w:pPr>
      <w:r>
        <w:rPr>
          <w:rFonts w:hint="eastAsia" w:ascii="仿宋_GB2312" w:eastAsia="仿宋_GB2312"/>
          <w:b/>
          <w:bCs/>
          <w:sz w:val="32"/>
          <w:szCs w:val="32"/>
          <w:lang w:val="en-US" w:eastAsia="zh-CN"/>
        </w:rPr>
        <w:t>（三）社会保障和就业支出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机关事业单位基本养老保险缴费支出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eastAsia="仿宋_GB2312"/>
          <w:lang w:eastAsia="zh-CN"/>
        </w:rPr>
      </w:pPr>
      <w:r>
        <w:rPr>
          <w:rFonts w:hint="eastAsia" w:ascii="仿宋_GB2312" w:eastAsia="仿宋_GB2312"/>
          <w:b/>
          <w:bCs/>
          <w:sz w:val="32"/>
          <w:szCs w:val="32"/>
          <w:lang w:val="en-US" w:eastAsia="zh-CN"/>
        </w:rPr>
        <w:t>（四）社会保障和就业支出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机关事业单位职业年金缴费支出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反映机关事业单位实施养老保险制度由单位实际缴纳的职业年金支出。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eastAsia="仿宋_GB2312"/>
          <w:lang w:eastAsia="zh-CN"/>
        </w:rPr>
      </w:pPr>
      <w:r>
        <w:rPr>
          <w:rFonts w:hint="eastAsia" w:ascii="仿宋_GB2312" w:eastAsia="仿宋_GB2312"/>
          <w:b/>
          <w:bCs/>
          <w:sz w:val="32"/>
          <w:szCs w:val="32"/>
          <w:lang w:val="en-US" w:eastAsia="zh-CN"/>
        </w:rPr>
        <w:t>（五）卫生健康支出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事业单位医疗</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反映财政部门安排的事业单位基本医疗保险缴费经费，未参加医疗保险的事业单位的公费医疗经费，按国家规定享受离休人员待遇的医疗经费。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eastAsia="仿宋_GB2312"/>
          <w:lang w:eastAsia="zh-CN"/>
        </w:rPr>
      </w:pPr>
      <w:r>
        <w:rPr>
          <w:rFonts w:hint="eastAsia" w:ascii="仿宋_GB2312" w:eastAsia="仿宋_GB2312"/>
          <w:b/>
          <w:bCs/>
          <w:sz w:val="32"/>
          <w:szCs w:val="32"/>
          <w:lang w:val="en-US" w:eastAsia="zh-CN"/>
        </w:rPr>
        <w:t>（六）卫生健康支出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公务员医疗补助</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反映财政部门安排的公务员医疗补助经费。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（七）社会保障和就业支出（类）其他社会保障和就业支出（款）其他社会保障和就业支出（项）：</w:t>
      </w:r>
      <w:r>
        <w:rPr>
          <w:rFonts w:hint="eastAsia" w:ascii="仿宋_GB2312" w:eastAsia="仿宋_GB2312"/>
          <w:b w:val="0"/>
          <w:bCs w:val="0"/>
          <w:sz w:val="32"/>
          <w:szCs w:val="32"/>
          <w:lang w:eastAsia="zh-CN"/>
        </w:rPr>
        <w:t>反映除上述项目以外其他用于社会保障和就业方面的支出。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lang w:val="en-US" w:eastAsia="zh-CN"/>
        </w:rPr>
        <w:t>（八）住房保障支出</w:t>
      </w:r>
      <w:r>
        <w:rPr>
          <w:rFonts w:hint="eastAsia" w:ascii="仿宋_GB2312" w:eastAsia="仿宋_GB2312"/>
          <w:b/>
          <w:bCs/>
          <w:sz w:val="32"/>
          <w:szCs w:val="32"/>
        </w:rPr>
        <w:t>（类）</w:t>
      </w:r>
      <w:r>
        <w:rPr>
          <w:rFonts w:hint="eastAsia" w:ascii="仿宋_GB2312" w:eastAsia="仿宋_GB2312"/>
          <w:b/>
          <w:bCs/>
          <w:sz w:val="32"/>
          <w:szCs w:val="32"/>
          <w:lang w:val="en-US" w:eastAsia="zh-CN"/>
        </w:rPr>
        <w:t>住房改革支出</w:t>
      </w:r>
      <w:r>
        <w:rPr>
          <w:rFonts w:hint="eastAsia" w:ascii="仿宋_GB2312" w:eastAsia="仿宋_GB2312"/>
          <w:b/>
          <w:bCs/>
          <w:sz w:val="32"/>
          <w:szCs w:val="32"/>
        </w:rPr>
        <w:t>（款）</w:t>
      </w:r>
      <w:r>
        <w:rPr>
          <w:rFonts w:hint="eastAsia" w:ascii="仿宋_GB2312" w:eastAsia="仿宋_GB2312"/>
          <w:b/>
          <w:bCs/>
          <w:sz w:val="32"/>
          <w:szCs w:val="32"/>
          <w:lang w:val="en-US" w:eastAsia="zh-CN"/>
        </w:rPr>
        <w:t>住房公积金</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反映行政事业单位按人力资源和社会保障部、财政部规定的基本工资和津贴补贴以及规定比例为职工缴纳的住房公积金。</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15</w:t>
    </w:r>
    <w:r>
      <w:rPr>
        <w:rStyle w:val="8"/>
      </w:rPr>
      <w:fldChar w:fldCharType="end"/>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291A9"/>
    <w:multiLevelType w:val="singleLevel"/>
    <w:tmpl w:val="2DB291A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59359A"/>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8353BE"/>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AA5FC1"/>
    <w:rsid w:val="40D519B8"/>
    <w:rsid w:val="40DE086C"/>
    <w:rsid w:val="40E81285"/>
    <w:rsid w:val="419A2DBD"/>
    <w:rsid w:val="41E2613A"/>
    <w:rsid w:val="42290191"/>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641F2"/>
    <w:rsid w:val="4C990922"/>
    <w:rsid w:val="4CBB4158"/>
    <w:rsid w:val="4CCF550D"/>
    <w:rsid w:val="4D235A67"/>
    <w:rsid w:val="4D237E1F"/>
    <w:rsid w:val="4D29404E"/>
    <w:rsid w:val="4D6E3821"/>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1D652DB"/>
    <w:rsid w:val="5202788D"/>
    <w:rsid w:val="52302EF2"/>
    <w:rsid w:val="523072B3"/>
    <w:rsid w:val="524644C3"/>
    <w:rsid w:val="52691F60"/>
    <w:rsid w:val="528462EE"/>
    <w:rsid w:val="529E01D6"/>
    <w:rsid w:val="52B94C95"/>
    <w:rsid w:val="52BE405A"/>
    <w:rsid w:val="52D7511B"/>
    <w:rsid w:val="535A7C9D"/>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8F2469"/>
    <w:rsid w:val="579E26AC"/>
    <w:rsid w:val="57D26DC6"/>
    <w:rsid w:val="57F56069"/>
    <w:rsid w:val="58071B26"/>
    <w:rsid w:val="581A4428"/>
    <w:rsid w:val="58314A33"/>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936287"/>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5C35BB"/>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116A1"/>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150B0"/>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style>
  <w:style w:type="paragraph" w:styleId="3">
    <w:name w:val="Balloon Text"/>
    <w:basedOn w:val="1"/>
    <w:link w:val="9"/>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link w:val="3"/>
    <w:semiHidden/>
    <w:qFormat/>
    <w:uiPriority w:val="99"/>
    <w:rPr>
      <w:rFonts w:ascii="Times New Roman" w:hAnsi="Times New Roman"/>
      <w:kern w:val="2"/>
      <w:sz w:val="18"/>
      <w:szCs w:val="18"/>
    </w:rPr>
  </w:style>
  <w:style w:type="character" w:customStyle="1" w:styleId="10">
    <w:name w:val="页脚 Char"/>
    <w:link w:val="4"/>
    <w:qFormat/>
    <w:uiPriority w:val="99"/>
    <w:rPr>
      <w:rFonts w:ascii="Times New Roman" w:hAnsi="Times New Roman"/>
      <w:kern w:val="2"/>
      <w:sz w:val="18"/>
      <w:szCs w:val="18"/>
    </w:rPr>
  </w:style>
  <w:style w:type="character" w:customStyle="1" w:styleId="11">
    <w:name w:val="页眉 Char"/>
    <w:link w:val="5"/>
    <w:qFormat/>
    <w:uiPriority w:val="99"/>
    <w:rPr>
      <w:rFonts w:ascii="Times New Roman" w:hAnsi="Times New Roman"/>
      <w:kern w:val="2"/>
      <w:sz w:val="18"/>
      <w:szCs w:val="18"/>
    </w:rPr>
  </w:style>
  <w:style w:type="paragraph" w:styleId="12">
    <w:name w:val="List Paragraph"/>
    <w:basedOn w:val="1"/>
    <w:qFormat/>
    <w:uiPriority w:val="34"/>
    <w:pPr>
      <w:ind w:firstLine="420" w:firstLineChars="200"/>
    </w:pPr>
  </w:style>
  <w:style w:type="paragraph" w:styleId="13">
    <w:name w:val="No Spacing"/>
    <w:link w:val="14"/>
    <w:qFormat/>
    <w:uiPriority w:val="0"/>
    <w:rPr>
      <w:rFonts w:ascii="Calibri" w:hAnsi="Calibri" w:eastAsia="宋体" w:cs="Times New Roman"/>
      <w:sz w:val="22"/>
      <w:szCs w:val="22"/>
      <w:lang w:val="en-US" w:eastAsia="zh-CN" w:bidi="ar-SA"/>
    </w:rPr>
  </w:style>
  <w:style w:type="character" w:customStyle="1" w:styleId="14">
    <w:name w:val="无间隔 Char"/>
    <w:link w:val="13"/>
    <w:qFormat/>
    <w:uiPriority w:val="0"/>
    <w:rPr>
      <w:sz w:val="22"/>
      <w:szCs w:val="22"/>
      <w:lang w:bidi="ar-SA"/>
    </w:rPr>
  </w:style>
  <w:style w:type="paragraph" w:customStyle="1" w:styleId="15">
    <w:name w:val="正文1"/>
    <w:basedOn w:val="1"/>
    <w:qFormat/>
    <w:uiPriority w:val="0"/>
    <w:pPr>
      <w:widowControl/>
    </w:pPr>
    <w:rPr>
      <w:rFonts w:eastAsia="Times New Roman"/>
      <w:kern w:val="0"/>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5766</Words>
  <Characters>7037</Characters>
  <Lines>43</Lines>
  <Paragraphs>12</Paragraphs>
  <TotalTime>1</TotalTime>
  <ScaleCrop>false</ScaleCrop>
  <LinksUpToDate>false</LinksUpToDate>
  <CharactersWithSpaces>7137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大琹</cp:lastModifiedBy>
  <cp:lastPrinted>2021-01-31T19:43:00Z</cp:lastPrinted>
  <dcterms:modified xsi:type="dcterms:W3CDTF">2023-06-08T08:39:54Z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F88B4DA1A3324B53BA458EC441A588D9_13</vt:lpwstr>
  </property>
</Properties>
</file>