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湟源县档案馆</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（一）业务范围：湟源县档案馆，承担全县档案资料的收集、整理、保管和利用研究工作；依法向社会提供档案查询服务工作；承担档案资料的对外交流工作。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（二）单位人员配置：202</w:t>
      </w:r>
      <w:r>
        <w:rPr>
          <w:rFonts w:hint="eastAsia" w:ascii="仿宋_GB2312" w:eastAsia="仿宋_GB2312"/>
          <w:sz w:val="32"/>
          <w:szCs w:val="32"/>
          <w:lang w:val="en-US" w:eastAsia="zh-CN"/>
        </w:rPr>
        <w:t>3</w:t>
      </w:r>
      <w:r>
        <w:rPr>
          <w:rFonts w:hint="eastAsia" w:ascii="仿宋_GB2312" w:eastAsia="仿宋_GB2312"/>
          <w:sz w:val="32"/>
          <w:szCs w:val="32"/>
          <w:lang w:eastAsia="zh-CN"/>
        </w:rPr>
        <w:t>年度预算编制范围包括各级预算单位1个。现局（馆）人员核定编制数12名，实有人员</w:t>
      </w:r>
      <w:r>
        <w:rPr>
          <w:rFonts w:hint="eastAsia" w:ascii="仿宋_GB2312" w:eastAsia="仿宋_GB2312"/>
          <w:sz w:val="32"/>
          <w:szCs w:val="32"/>
          <w:lang w:val="en-US" w:eastAsia="zh-CN"/>
        </w:rPr>
        <w:t>11</w:t>
      </w:r>
      <w:r>
        <w:rPr>
          <w:rFonts w:hint="eastAsia" w:ascii="仿宋_GB2312" w:eastAsia="仿宋_GB2312"/>
          <w:sz w:val="32"/>
          <w:szCs w:val="32"/>
          <w:lang w:eastAsia="zh-CN"/>
        </w:rPr>
        <w:t>人，其中：在职人员</w:t>
      </w:r>
      <w:r>
        <w:rPr>
          <w:rFonts w:hint="eastAsia" w:ascii="仿宋_GB2312" w:eastAsia="仿宋_GB2312"/>
          <w:sz w:val="32"/>
          <w:szCs w:val="32"/>
          <w:lang w:val="en-US" w:eastAsia="zh-CN"/>
        </w:rPr>
        <w:t>11</w:t>
      </w:r>
      <w:r>
        <w:rPr>
          <w:rFonts w:hint="eastAsia" w:ascii="仿宋_GB2312" w:eastAsia="仿宋_GB2312"/>
          <w:sz w:val="32"/>
          <w:szCs w:val="32"/>
          <w:lang w:eastAsia="zh-CN"/>
        </w:rPr>
        <w:t>人，编外门卫1人。</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综合办公室。</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i w:val="0"/>
          <w:iCs/>
          <w:sz w:val="32"/>
          <w:szCs w:val="32"/>
          <w:u w:val="single"/>
        </w:rPr>
      </w:pPr>
      <w:r>
        <w:rPr>
          <w:rFonts w:hint="eastAsia" w:ascii="仿宋_GB2312" w:eastAsia="仿宋_GB2312"/>
          <w:sz w:val="32"/>
          <w:szCs w:val="32"/>
          <w:lang w:eastAsia="zh-CN"/>
        </w:rPr>
        <w:t>纳入湟源县档案馆部门</w:t>
      </w:r>
      <w:r>
        <w:rPr>
          <w:rFonts w:hint="eastAsia" w:ascii="仿宋_GB2312" w:eastAsia="仿宋_GB2312"/>
          <w:sz w:val="32"/>
          <w:szCs w:val="32"/>
          <w:lang w:val="en-US" w:eastAsia="zh-CN"/>
        </w:rPr>
        <w:t>2023</w:t>
      </w:r>
      <w:r>
        <w:rPr>
          <w:rFonts w:hint="eastAsia" w:ascii="仿宋_GB2312" w:eastAsia="仿宋_GB2312"/>
          <w:sz w:val="32"/>
          <w:szCs w:val="32"/>
          <w:lang w:eastAsia="zh-CN"/>
        </w:rPr>
        <w:t>年部门预算编制范围的二级预算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lang w:eastAsia="zh-CN"/>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307.98</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208.13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55.18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24.83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19.85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307.98</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307.98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307.98</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307.98</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307.98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307.98</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湟源县档案馆</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307.98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307.98</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湟源县档案馆（本级）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307.98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307.98</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758"/>
        <w:gridCol w:w="1148"/>
        <w:gridCol w:w="1148"/>
        <w:gridCol w:w="1148"/>
        <w:gridCol w:w="1148"/>
        <w:gridCol w:w="1148"/>
        <w:gridCol w:w="1152"/>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307.98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277.98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178.13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20126</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档案事务</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178.13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2012604</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档案馆</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178.13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55.18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55.18</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54.32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54.32</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21.49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22.09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22.09</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24.83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24.83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24.83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24.83</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15.07</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9.76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9.76</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19.85</w:t>
            </w: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1016"/>
        <w:gridCol w:w="1767"/>
        <w:gridCol w:w="1233"/>
        <w:gridCol w:w="1167"/>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37"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21"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1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3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5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307.98</w:t>
            </w: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307.98</w:t>
            </w: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307.98</w:t>
            </w: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307.98</w:t>
            </w: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208.13</w:t>
            </w: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208.13</w:t>
            </w: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55.18</w:t>
            </w: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55.18</w:t>
            </w: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24.83</w:t>
            </w: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24.83</w:t>
            </w: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19.85</w:t>
            </w: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19.85</w:t>
            </w: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16" w:type="dxa"/>
            <w:shd w:val="clear" w:color="auto" w:fill="FFFFFF"/>
            <w:noWrap/>
            <w:vAlign w:val="center"/>
          </w:tcPr>
          <w:p>
            <w:pPr>
              <w:widowControl/>
              <w:jc w:val="center"/>
              <w:rPr>
                <w:rFonts w:ascii="宋体" w:hAnsi="宋体" w:cs="宋体"/>
                <w:kern w:val="0"/>
                <w:sz w:val="20"/>
              </w:rPr>
            </w:pPr>
          </w:p>
        </w:tc>
        <w:tc>
          <w:tcPr>
            <w:tcW w:w="1767" w:type="dxa"/>
            <w:shd w:val="clear" w:color="auto" w:fill="FFFFFF"/>
            <w:noWrap/>
            <w:vAlign w:val="center"/>
          </w:tcPr>
          <w:p>
            <w:pPr>
              <w:widowControl/>
              <w:jc w:val="left"/>
              <w:rPr>
                <w:rFonts w:ascii="宋体" w:hAnsi="宋体" w:cs="宋体"/>
                <w:kern w:val="0"/>
                <w:sz w:val="20"/>
              </w:rPr>
            </w:pP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2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1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307.98</w:t>
            </w:r>
          </w:p>
        </w:tc>
        <w:tc>
          <w:tcPr>
            <w:tcW w:w="1767"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3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307.98</w:t>
            </w:r>
          </w:p>
        </w:tc>
        <w:tc>
          <w:tcPr>
            <w:tcW w:w="116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307.98</w:t>
            </w:r>
          </w:p>
        </w:tc>
        <w:tc>
          <w:tcPr>
            <w:tcW w:w="1254"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48"/>
        <w:gridCol w:w="1404"/>
        <w:gridCol w:w="1404"/>
        <w:gridCol w:w="1404"/>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9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97"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307.98</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277.98</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208.13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178.13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26</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档案事务</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208.13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178.13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档案馆</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208.13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178.13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55.18</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55.18</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54.32</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54.32</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21.49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21.49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10.75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10.75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22.09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22.09</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0.86</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0.86</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0.86</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0.86</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24.83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24.83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24.83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24.83</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15.07</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15.07</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9.76</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9.76</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19.85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19.85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19.85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19.85</w:t>
            </w:r>
          </w:p>
        </w:tc>
        <w:tc>
          <w:tcPr>
            <w:tcW w:w="14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206"/>
        <w:gridCol w:w="2246"/>
        <w:gridCol w:w="2246"/>
        <w:gridCol w:w="2247"/>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50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3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4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50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277.98</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270.63</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241.42</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241.42</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49.10</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49.10</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47.10</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47.10</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74.57</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74.57</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21.49</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21.49</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10.75</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10.75</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7.94</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7.94</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9.76</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9.76</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0.86</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0.86</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19.85</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19.85</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7.35</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2.44</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0.75</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0.75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29.21</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29.21</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22.09</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22.09</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0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7.13</w:t>
            </w:r>
          </w:p>
        </w:tc>
        <w:tc>
          <w:tcPr>
            <w:tcW w:w="22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7.13</w:t>
            </w:r>
          </w:p>
        </w:tc>
        <w:tc>
          <w:tcPr>
            <w:tcW w:w="224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0.20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1.04</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0.24</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湟源县档案馆2023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湟源县档案馆</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一般公共预算拨款收入307.98万元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一般公共服务支出208.13万元，社会保障和就业支出55.18万元，卫生健康支出24.83万元，住房保障支出19.85万元</w:t>
      </w:r>
      <w:r>
        <w:rPr>
          <w:rFonts w:hint="eastAsia" w:ascii="仿宋_GB2312" w:eastAsia="仿宋_GB2312"/>
          <w:sz w:val="32"/>
          <w:szCs w:val="32"/>
        </w:rPr>
        <w:t>。</w:t>
      </w:r>
      <w:r>
        <w:rPr>
          <w:rFonts w:hint="eastAsia" w:ascii="仿宋_GB2312" w:eastAsia="仿宋_GB2312"/>
          <w:sz w:val="32"/>
          <w:szCs w:val="32"/>
          <w:lang w:val="en-US" w:eastAsia="zh-CN"/>
        </w:rPr>
        <w:t>湟源县档案馆2023</w:t>
      </w:r>
      <w:r>
        <w:rPr>
          <w:rFonts w:hint="eastAsia" w:ascii="仿宋_GB2312" w:eastAsia="仿宋_GB2312"/>
          <w:sz w:val="32"/>
          <w:szCs w:val="32"/>
        </w:rPr>
        <w:t>年收支总预算</w:t>
      </w:r>
      <w:r>
        <w:rPr>
          <w:rFonts w:hint="eastAsia" w:ascii="仿宋_GB2312" w:eastAsia="仿宋_GB2312"/>
          <w:sz w:val="32"/>
          <w:szCs w:val="32"/>
          <w:lang w:val="en-US" w:eastAsia="zh-CN"/>
        </w:rPr>
        <w:t>307.98</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湟源县档案馆2023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湟源县档案馆2023</w:t>
      </w:r>
      <w:r>
        <w:rPr>
          <w:rFonts w:hint="eastAsia" w:ascii="仿宋_GB2312" w:eastAsia="仿宋_GB2312"/>
          <w:sz w:val="32"/>
          <w:szCs w:val="32"/>
        </w:rPr>
        <w:t>年收入预算</w:t>
      </w:r>
      <w:r>
        <w:rPr>
          <w:rFonts w:hint="eastAsia" w:ascii="仿宋_GB2312" w:eastAsia="仿宋_GB2312"/>
          <w:sz w:val="32"/>
          <w:szCs w:val="32"/>
          <w:lang w:val="en-US" w:eastAsia="zh-CN"/>
        </w:rPr>
        <w:t>307.98</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一般公共预算拨款收入307.98万元，占100.00%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3.15pt;width:354.6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湟源县档案馆2023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湟源县档案馆2023</w:t>
      </w:r>
      <w:r>
        <w:rPr>
          <w:rFonts w:hint="eastAsia" w:ascii="仿宋_GB2312" w:eastAsia="仿宋_GB2312"/>
          <w:sz w:val="32"/>
          <w:szCs w:val="32"/>
        </w:rPr>
        <w:t>年支出预算</w:t>
      </w:r>
      <w:r>
        <w:rPr>
          <w:rFonts w:hint="eastAsia" w:ascii="仿宋_GB2312" w:eastAsia="仿宋_GB2312"/>
          <w:sz w:val="32"/>
          <w:szCs w:val="32"/>
          <w:lang w:val="en-US" w:eastAsia="zh-CN"/>
        </w:rPr>
        <w:t>307.98</w:t>
      </w:r>
      <w:r>
        <w:rPr>
          <w:rFonts w:hint="eastAsia" w:ascii="仿宋_GB2312" w:eastAsia="仿宋_GB2312"/>
          <w:sz w:val="32"/>
          <w:szCs w:val="32"/>
        </w:rPr>
        <w:t>万元，其中：</w:t>
      </w:r>
      <w:r>
        <w:rPr>
          <w:rFonts w:hint="eastAsia" w:ascii="仿宋_GB2312" w:eastAsia="仿宋_GB2312"/>
          <w:sz w:val="32"/>
          <w:szCs w:val="32"/>
          <w:lang w:val="en-US" w:eastAsia="zh-CN"/>
        </w:rPr>
        <w:t>基本支出277.98万元，占90.26%；项目支出30.00万元，占9.74%</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4.85pt;width:358.3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湟源县档案馆2023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湟源县档案馆2023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307.98</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增加74.95</w:t>
      </w:r>
      <w:r>
        <w:rPr>
          <w:rFonts w:hint="eastAsia" w:ascii="仿宋_GB2312" w:eastAsia="仿宋_GB2312"/>
          <w:sz w:val="32"/>
          <w:szCs w:val="32"/>
        </w:rPr>
        <w:t>万元，主要是</w:t>
      </w:r>
      <w:r>
        <w:rPr>
          <w:rFonts w:hint="eastAsia" w:ascii="仿宋_GB2312" w:eastAsia="仿宋_GB2312"/>
          <w:sz w:val="32"/>
          <w:szCs w:val="32"/>
          <w:lang w:eastAsia="zh-CN"/>
        </w:rPr>
        <w:t>：</w:t>
      </w:r>
      <w:r>
        <w:rPr>
          <w:rFonts w:hint="eastAsia" w:ascii="仿宋_GB2312" w:eastAsia="仿宋_GB2312"/>
          <w:sz w:val="32"/>
          <w:szCs w:val="32"/>
          <w:lang w:val="en-US" w:eastAsia="zh-CN"/>
        </w:rPr>
        <w:t>1、因职工人数较去年增加2人相应的人员经费有所增加。2、本年项目预算支出（30万元）较去年预算（15万元）增加15万元</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一般公共预算拨款收入307.98万元，上年结转0.00万元；政府性基金预算拨款收入0.00万元，上年结转0.00万元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一般公共服务支出208.13万元， 社会保障和就业支出55.18万元， 卫生健康支出24.83万元， 住房保障支出19.85万元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0.2pt;width:348.3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湟源县档案馆2023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湟源县档案馆2023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307.98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增加74.95</w:t>
      </w:r>
      <w:r>
        <w:rPr>
          <w:rFonts w:hint="eastAsia" w:ascii="仿宋_GB2312" w:eastAsia="仿宋_GB2312"/>
          <w:sz w:val="32"/>
          <w:szCs w:val="32"/>
        </w:rPr>
        <w:t>万元，主要是</w:t>
      </w:r>
      <w:r>
        <w:rPr>
          <w:rFonts w:hint="eastAsia" w:ascii="仿宋_GB2312" w:eastAsia="仿宋_GB2312"/>
          <w:sz w:val="32"/>
          <w:szCs w:val="32"/>
          <w:lang w:eastAsia="zh-CN"/>
        </w:rPr>
        <w:t>：</w:t>
      </w:r>
      <w:r>
        <w:rPr>
          <w:rFonts w:hint="eastAsia" w:ascii="仿宋_GB2312" w:eastAsia="仿宋_GB2312"/>
          <w:sz w:val="32"/>
          <w:szCs w:val="32"/>
          <w:lang w:val="en-US" w:eastAsia="zh-CN"/>
        </w:rPr>
        <w:t>1、因职工人数较去年增加2人相应的人员经费有所增加。2、本年项目预算支出（30万元）较去年预算（15万元）增加15万元</w:t>
      </w:r>
      <w:r>
        <w:rPr>
          <w:rFonts w:hint="eastAsia" w:ascii="仿宋_GB2312" w:eastAsia="仿宋_GB2312"/>
          <w:sz w:val="32"/>
          <w:szCs w:val="32"/>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6.4pt;width:340.4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一般公共服务支出208.13万元，占67.58%；社会保障和就业支出55.18万元，占17.92%；卫生健康支出24.83万元，占8.06%；住房保障支出19.85万元，占6.45%</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57.7pt;width:342.8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i w:val="0"/>
          <w:iCs w:val="0"/>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档案事务</w:t>
      </w:r>
      <w:r>
        <w:rPr>
          <w:rFonts w:hint="eastAsia" w:ascii="仿宋_GB2312" w:eastAsia="仿宋_GB2312"/>
          <w:sz w:val="32"/>
          <w:szCs w:val="32"/>
        </w:rPr>
        <w:t>（款）</w:t>
      </w:r>
      <w:r>
        <w:rPr>
          <w:rFonts w:hint="eastAsia" w:ascii="仿宋_GB2312" w:eastAsia="仿宋_GB2312"/>
          <w:sz w:val="32"/>
          <w:szCs w:val="32"/>
          <w:lang w:val="en-US" w:eastAsia="zh-CN"/>
        </w:rPr>
        <w:t>档案馆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208.13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增加52.10</w:t>
      </w:r>
      <w:r>
        <w:rPr>
          <w:rFonts w:hint="eastAsia" w:ascii="仿宋_GB2312" w:eastAsia="仿宋_GB2312"/>
          <w:sz w:val="32"/>
          <w:szCs w:val="32"/>
        </w:rPr>
        <w:t>万元，</w:t>
      </w:r>
      <w:r>
        <w:rPr>
          <w:rFonts w:hint="eastAsia" w:ascii="仿宋_GB2312" w:eastAsia="仿宋_GB2312"/>
          <w:sz w:val="32"/>
          <w:szCs w:val="32"/>
          <w:lang w:val="en-US" w:eastAsia="zh-CN"/>
        </w:rPr>
        <w:t>增长33.39</w:t>
      </w:r>
      <w:r>
        <w:rPr>
          <w:rFonts w:hint="eastAsia" w:ascii="仿宋_GB2312" w:eastAsia="仿宋_GB2312"/>
          <w:sz w:val="32"/>
          <w:szCs w:val="32"/>
        </w:rPr>
        <w:t>%。</w:t>
      </w:r>
      <w:r>
        <w:rPr>
          <w:rFonts w:hint="eastAsia" w:ascii="仿宋_GB2312" w:eastAsia="仿宋_GB2312"/>
          <w:i w:val="0"/>
          <w:iCs w:val="0"/>
          <w:sz w:val="32"/>
          <w:szCs w:val="32"/>
        </w:rPr>
        <w:t>主要是</w:t>
      </w:r>
      <w:r>
        <w:rPr>
          <w:rFonts w:hint="eastAsia" w:ascii="仿宋_GB2312" w:eastAsia="仿宋_GB2312"/>
          <w:i w:val="0"/>
          <w:iCs w:val="0"/>
          <w:sz w:val="32"/>
          <w:szCs w:val="32"/>
          <w:lang w:eastAsia="zh-CN"/>
        </w:rPr>
        <w:t>：</w:t>
      </w:r>
      <w:r>
        <w:rPr>
          <w:rFonts w:hint="eastAsia" w:ascii="仿宋_GB2312" w:eastAsia="仿宋_GB2312"/>
          <w:i w:val="0"/>
          <w:iCs w:val="0"/>
          <w:sz w:val="32"/>
          <w:szCs w:val="32"/>
          <w:lang w:val="en-US" w:eastAsia="zh-CN"/>
        </w:rPr>
        <w:t>1</w:t>
      </w:r>
      <w:r>
        <w:rPr>
          <w:rFonts w:hint="eastAsia" w:ascii="仿宋_GB2312" w:eastAsia="仿宋_GB2312"/>
          <w:i w:val="0"/>
          <w:iCs w:val="0"/>
          <w:color w:val="auto"/>
          <w:sz w:val="32"/>
          <w:szCs w:val="32"/>
          <w:highlight w:val="none"/>
          <w:lang w:val="en-US" w:eastAsia="zh-CN"/>
        </w:rPr>
        <w:t>、</w:t>
      </w:r>
      <w:r>
        <w:rPr>
          <w:rFonts w:hint="eastAsia" w:ascii="仿宋_GB2312" w:eastAsia="仿宋_GB2312"/>
          <w:i w:val="0"/>
          <w:iCs w:val="0"/>
          <w:color w:val="auto"/>
          <w:sz w:val="32"/>
          <w:szCs w:val="32"/>
          <w:highlight w:val="none"/>
          <w:u w:val="none"/>
          <w:lang w:eastAsia="zh-CN"/>
        </w:rPr>
        <w:t>本年较去年职工人数增加</w:t>
      </w:r>
      <w:r>
        <w:rPr>
          <w:rFonts w:hint="eastAsia" w:ascii="仿宋_GB2312" w:eastAsia="仿宋_GB2312"/>
          <w:i w:val="0"/>
          <w:iCs w:val="0"/>
          <w:color w:val="auto"/>
          <w:sz w:val="32"/>
          <w:szCs w:val="32"/>
          <w:highlight w:val="none"/>
          <w:u w:val="none"/>
          <w:lang w:val="en-US" w:eastAsia="zh-CN"/>
        </w:rPr>
        <w:t>2人相应的人员工资经费有所增加。2、本年项目预算（30万元）支出较去年预算（15万元）增加15万元</w:t>
      </w:r>
      <w:r>
        <w:rPr>
          <w:rFonts w:hint="eastAsia" w:ascii="仿宋_GB2312" w:eastAsia="仿宋_GB2312"/>
          <w:i w:val="0"/>
          <w:iCs w:val="0"/>
          <w:sz w:val="32"/>
          <w:szCs w:val="32"/>
          <w:lang w:val="en-US" w:eastAsia="zh-CN"/>
        </w:rPr>
        <w:t>。</w:t>
      </w:r>
    </w:p>
    <w:p>
      <w:pPr>
        <w:ind w:firstLine="645"/>
        <w:rPr>
          <w:rFonts w:hint="eastAsia" w:ascii="仿宋_GB2312" w:eastAsia="仿宋_GB2312"/>
          <w:sz w:val="32"/>
          <w:szCs w:val="32"/>
          <w:highlight w:val="none"/>
          <w:u w:val="none"/>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21.49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增加8.01</w:t>
      </w:r>
      <w:r>
        <w:rPr>
          <w:rFonts w:hint="eastAsia" w:ascii="仿宋_GB2312" w:eastAsia="仿宋_GB2312"/>
          <w:sz w:val="32"/>
          <w:szCs w:val="32"/>
        </w:rPr>
        <w:t>万元，</w:t>
      </w:r>
      <w:r>
        <w:rPr>
          <w:rFonts w:hint="eastAsia" w:ascii="仿宋_GB2312" w:eastAsia="仿宋_GB2312"/>
          <w:i w:val="0"/>
          <w:iCs w:val="0"/>
          <w:sz w:val="32"/>
          <w:szCs w:val="32"/>
          <w:lang w:val="en-US" w:eastAsia="zh-CN"/>
        </w:rPr>
        <w:t>增长59.42</w:t>
      </w:r>
      <w:r>
        <w:rPr>
          <w:rFonts w:hint="eastAsia" w:ascii="仿宋_GB2312" w:eastAsia="仿宋_GB2312"/>
          <w:i w:val="0"/>
          <w:iCs w:val="0"/>
          <w:sz w:val="32"/>
          <w:szCs w:val="32"/>
        </w:rPr>
        <w:t>%。主要</w:t>
      </w:r>
      <w:r>
        <w:rPr>
          <w:rFonts w:hint="eastAsia" w:ascii="仿宋_GB2312" w:eastAsia="仿宋_GB2312"/>
          <w:i w:val="0"/>
          <w:iCs w:val="0"/>
          <w:sz w:val="32"/>
          <w:szCs w:val="32"/>
          <w:highlight w:val="none"/>
          <w:u w:val="none"/>
        </w:rPr>
        <w:t>是</w:t>
      </w:r>
      <w:r>
        <w:rPr>
          <w:rFonts w:hint="eastAsia" w:ascii="仿宋_GB2312" w:eastAsia="仿宋_GB2312"/>
          <w:i w:val="0"/>
          <w:iCs w:val="0"/>
          <w:sz w:val="32"/>
          <w:szCs w:val="32"/>
          <w:highlight w:val="none"/>
          <w:u w:val="none"/>
          <w:lang w:eastAsia="zh-CN"/>
        </w:rPr>
        <w:t>本年职工人数较去年增加</w:t>
      </w:r>
      <w:r>
        <w:rPr>
          <w:rFonts w:hint="eastAsia" w:ascii="仿宋_GB2312" w:eastAsia="仿宋_GB2312"/>
          <w:i w:val="0"/>
          <w:iCs w:val="0"/>
          <w:sz w:val="32"/>
          <w:szCs w:val="32"/>
          <w:highlight w:val="none"/>
          <w:u w:val="none"/>
          <w:lang w:val="en-US" w:eastAsia="zh-CN"/>
        </w:rPr>
        <w:t>2人，相应的</w:t>
      </w:r>
      <w:r>
        <w:rPr>
          <w:rFonts w:hint="eastAsia" w:ascii="仿宋_GB2312" w:eastAsia="仿宋_GB2312"/>
          <w:i w:val="0"/>
          <w:iCs w:val="0"/>
          <w:sz w:val="32"/>
          <w:szCs w:val="32"/>
          <w:lang w:val="en-US" w:eastAsia="zh-CN"/>
        </w:rPr>
        <w:t>养老保险缴费支出有所增加</w:t>
      </w:r>
      <w:r>
        <w:rPr>
          <w:rFonts w:hint="eastAsia" w:ascii="仿宋_GB2312" w:eastAsia="仿宋_GB2312"/>
          <w:i w:val="0"/>
          <w:iCs w:val="0"/>
          <w:sz w:val="32"/>
          <w:szCs w:val="32"/>
          <w:highlight w:val="none"/>
          <w:u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10.75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增加4.01</w:t>
      </w:r>
      <w:r>
        <w:rPr>
          <w:rFonts w:hint="eastAsia" w:ascii="仿宋_GB2312" w:eastAsia="仿宋_GB2312"/>
          <w:sz w:val="32"/>
          <w:szCs w:val="32"/>
        </w:rPr>
        <w:t>万元，</w:t>
      </w:r>
      <w:r>
        <w:rPr>
          <w:rFonts w:hint="eastAsia" w:ascii="仿宋_GB2312" w:eastAsia="仿宋_GB2312"/>
          <w:sz w:val="32"/>
          <w:szCs w:val="32"/>
          <w:lang w:val="en-US" w:eastAsia="zh-CN"/>
        </w:rPr>
        <w:t>增长59.50</w:t>
      </w:r>
      <w:r>
        <w:rPr>
          <w:rFonts w:hint="eastAsia" w:ascii="仿宋_GB2312" w:eastAsia="仿宋_GB2312"/>
          <w:sz w:val="32"/>
          <w:szCs w:val="32"/>
        </w:rPr>
        <w:t>%。</w:t>
      </w:r>
      <w:r>
        <w:rPr>
          <w:rFonts w:hint="eastAsia" w:ascii="仿宋_GB2312" w:eastAsia="仿宋_GB2312"/>
          <w:i w:val="0"/>
          <w:iCs w:val="0"/>
          <w:sz w:val="32"/>
          <w:szCs w:val="32"/>
        </w:rPr>
        <w:t>主要是</w:t>
      </w:r>
      <w:r>
        <w:rPr>
          <w:rFonts w:hint="eastAsia" w:ascii="仿宋_GB2312" w:eastAsia="仿宋_GB2312"/>
          <w:i w:val="0"/>
          <w:iCs w:val="0"/>
          <w:sz w:val="32"/>
          <w:szCs w:val="32"/>
          <w:highlight w:val="none"/>
          <w:u w:val="none"/>
        </w:rPr>
        <w:t>本年职工人数较去年增加2人</w:t>
      </w:r>
      <w:r>
        <w:rPr>
          <w:rFonts w:hint="eastAsia" w:ascii="仿宋_GB2312" w:eastAsia="仿宋_GB2312"/>
          <w:i w:val="0"/>
          <w:iCs w:val="0"/>
          <w:sz w:val="32"/>
          <w:szCs w:val="32"/>
          <w:highlight w:val="none"/>
          <w:u w:val="none"/>
          <w:lang w:eastAsia="zh-CN"/>
        </w:rPr>
        <w:t>，</w:t>
      </w:r>
      <w:r>
        <w:rPr>
          <w:rFonts w:hint="eastAsia" w:ascii="仿宋_GB2312" w:eastAsia="仿宋_GB2312"/>
          <w:i w:val="0"/>
          <w:iCs w:val="0"/>
          <w:sz w:val="32"/>
          <w:szCs w:val="32"/>
          <w:highlight w:val="none"/>
          <w:u w:val="none"/>
          <w:lang w:val="en-US" w:eastAsia="zh-CN"/>
        </w:rPr>
        <w:t>相应的</w:t>
      </w:r>
      <w:r>
        <w:rPr>
          <w:rFonts w:hint="eastAsia" w:ascii="仿宋_GB2312" w:eastAsia="仿宋_GB2312"/>
          <w:i w:val="0"/>
          <w:iCs w:val="0"/>
          <w:sz w:val="32"/>
          <w:szCs w:val="32"/>
          <w:lang w:val="en-US" w:eastAsia="zh-CN"/>
        </w:rPr>
        <w:t>职业年金缴费支出有所增加</w:t>
      </w:r>
      <w:r>
        <w:rPr>
          <w:rFonts w:hint="eastAsia" w:ascii="仿宋_GB2312" w:eastAsia="仿宋_GB2312"/>
          <w:i w:val="0"/>
          <w:iCs w:val="0"/>
          <w:sz w:val="32"/>
          <w:szCs w:val="32"/>
          <w:highlight w:val="none"/>
          <w:u w:val="none"/>
          <w:lang w:val="en-US" w:eastAsia="zh-CN"/>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22.09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增加0.43</w:t>
      </w:r>
      <w:r>
        <w:rPr>
          <w:rFonts w:hint="eastAsia" w:ascii="仿宋_GB2312" w:eastAsia="仿宋_GB2312"/>
          <w:sz w:val="32"/>
          <w:szCs w:val="32"/>
        </w:rPr>
        <w:t>万元，</w:t>
      </w:r>
      <w:r>
        <w:rPr>
          <w:rFonts w:hint="eastAsia" w:ascii="仿宋_GB2312" w:eastAsia="仿宋_GB2312"/>
          <w:sz w:val="32"/>
          <w:szCs w:val="32"/>
          <w:lang w:val="en-US" w:eastAsia="zh-CN"/>
        </w:rPr>
        <w:t>增长1.99</w:t>
      </w:r>
      <w:r>
        <w:rPr>
          <w:rFonts w:hint="eastAsia" w:ascii="仿宋_GB2312" w:eastAsia="仿宋_GB2312"/>
          <w:sz w:val="32"/>
          <w:szCs w:val="32"/>
        </w:rPr>
        <w:t>%。</w:t>
      </w:r>
      <w:r>
        <w:rPr>
          <w:rFonts w:hint="eastAsia" w:ascii="仿宋_GB2312" w:eastAsia="仿宋_GB2312"/>
          <w:i w:val="0"/>
          <w:iCs w:val="0"/>
          <w:sz w:val="32"/>
          <w:szCs w:val="32"/>
        </w:rPr>
        <w:t>主要是</w:t>
      </w:r>
      <w:r>
        <w:rPr>
          <w:rFonts w:hint="eastAsia" w:ascii="仿宋_GB2312" w:eastAsia="仿宋_GB2312"/>
          <w:i w:val="0"/>
          <w:iCs w:val="0"/>
          <w:sz w:val="32"/>
          <w:szCs w:val="32"/>
          <w:highlight w:val="none"/>
          <w:lang w:val="en-US" w:eastAsia="zh-CN"/>
        </w:rPr>
        <w:t>人员变动，养老缴费基数增加</w:t>
      </w:r>
      <w:r>
        <w:rPr>
          <w:rFonts w:hint="eastAsia" w:ascii="仿宋_GB2312" w:eastAsia="仿宋_GB2312"/>
          <w:sz w:val="32"/>
          <w:szCs w:val="32"/>
          <w:highlight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0.86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增加0.14</w:t>
      </w:r>
      <w:r>
        <w:rPr>
          <w:rFonts w:hint="eastAsia" w:ascii="仿宋_GB2312" w:eastAsia="仿宋_GB2312"/>
          <w:sz w:val="32"/>
          <w:szCs w:val="32"/>
        </w:rPr>
        <w:t>万元，</w:t>
      </w:r>
      <w:r>
        <w:rPr>
          <w:rFonts w:hint="eastAsia" w:ascii="仿宋_GB2312" w:eastAsia="仿宋_GB2312"/>
          <w:sz w:val="32"/>
          <w:szCs w:val="32"/>
          <w:lang w:val="en-US" w:eastAsia="zh-CN"/>
        </w:rPr>
        <w:t>增长19.44</w:t>
      </w:r>
      <w:r>
        <w:rPr>
          <w:rFonts w:hint="eastAsia" w:ascii="仿宋_GB2312" w:eastAsia="仿宋_GB2312"/>
          <w:sz w:val="32"/>
          <w:szCs w:val="32"/>
        </w:rPr>
        <w:t>%。主要是</w:t>
      </w:r>
      <w:r>
        <w:rPr>
          <w:rFonts w:hint="eastAsia" w:ascii="仿宋_GB2312" w:eastAsia="仿宋_GB2312"/>
          <w:i w:val="0"/>
          <w:iCs w:val="0"/>
          <w:sz w:val="32"/>
          <w:szCs w:val="32"/>
          <w:highlight w:val="none"/>
          <w:u w:val="none"/>
        </w:rPr>
        <w:t>本年职工人数较去年增加2人</w:t>
      </w:r>
      <w:r>
        <w:rPr>
          <w:rFonts w:hint="eastAsia" w:ascii="仿宋_GB2312" w:eastAsia="仿宋_GB2312"/>
          <w:i w:val="0"/>
          <w:iCs w:val="0"/>
          <w:sz w:val="32"/>
          <w:szCs w:val="32"/>
          <w:highlight w:val="none"/>
          <w:u w:val="none"/>
          <w:lang w:val="en-US" w:eastAsia="zh-CN"/>
        </w:rPr>
        <w:t>相应的</w:t>
      </w:r>
      <w:r>
        <w:rPr>
          <w:rFonts w:hint="eastAsia" w:ascii="仿宋_GB2312" w:eastAsia="仿宋_GB2312"/>
          <w:i w:val="0"/>
          <w:iCs w:val="0"/>
          <w:sz w:val="32"/>
          <w:szCs w:val="32"/>
          <w:lang w:val="en-US" w:eastAsia="zh-CN"/>
        </w:rPr>
        <w:t>工伤保险缴费支出有所增加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15.07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增加1.25</w:t>
      </w:r>
      <w:r>
        <w:rPr>
          <w:rFonts w:hint="eastAsia" w:ascii="仿宋_GB2312" w:eastAsia="仿宋_GB2312"/>
          <w:sz w:val="32"/>
          <w:szCs w:val="32"/>
        </w:rPr>
        <w:t>万元，</w:t>
      </w:r>
      <w:r>
        <w:rPr>
          <w:rFonts w:hint="eastAsia" w:ascii="仿宋_GB2312" w:eastAsia="仿宋_GB2312"/>
          <w:sz w:val="32"/>
          <w:szCs w:val="32"/>
          <w:lang w:val="en-US" w:eastAsia="zh-CN"/>
        </w:rPr>
        <w:t>增长9.04</w:t>
      </w:r>
      <w:r>
        <w:rPr>
          <w:rFonts w:hint="eastAsia" w:ascii="仿宋_GB2312" w:eastAsia="仿宋_GB2312"/>
          <w:sz w:val="32"/>
          <w:szCs w:val="32"/>
        </w:rPr>
        <w:t>%。主要是</w:t>
      </w:r>
      <w:r>
        <w:rPr>
          <w:rFonts w:hint="eastAsia" w:ascii="仿宋_GB2312" w:eastAsia="仿宋_GB2312"/>
          <w:i w:val="0"/>
          <w:iCs w:val="0"/>
          <w:sz w:val="32"/>
          <w:szCs w:val="32"/>
          <w:highlight w:val="none"/>
          <w:u w:val="none"/>
        </w:rPr>
        <w:t>本年职工人数较去年增加2人</w:t>
      </w:r>
      <w:r>
        <w:rPr>
          <w:rFonts w:hint="eastAsia" w:ascii="仿宋_GB2312" w:eastAsia="仿宋_GB2312"/>
          <w:i w:val="0"/>
          <w:iCs w:val="0"/>
          <w:sz w:val="32"/>
          <w:szCs w:val="32"/>
          <w:highlight w:val="none"/>
          <w:u w:val="none"/>
          <w:lang w:val="en-US" w:eastAsia="zh-CN"/>
        </w:rPr>
        <w:t>相应的</w:t>
      </w:r>
      <w:r>
        <w:rPr>
          <w:rFonts w:hint="eastAsia" w:ascii="仿宋_GB2312" w:eastAsia="仿宋_GB2312"/>
          <w:i w:val="0"/>
          <w:iCs w:val="0"/>
          <w:sz w:val="32"/>
          <w:szCs w:val="32"/>
          <w:lang w:val="en-US" w:eastAsia="zh-CN"/>
        </w:rPr>
        <w:t>医疗保险缴费支出有所增加</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9.76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增加1.54</w:t>
      </w:r>
      <w:r>
        <w:rPr>
          <w:rFonts w:hint="eastAsia" w:ascii="仿宋_GB2312" w:eastAsia="仿宋_GB2312"/>
          <w:sz w:val="32"/>
          <w:szCs w:val="32"/>
        </w:rPr>
        <w:t>万元，</w:t>
      </w:r>
      <w:r>
        <w:rPr>
          <w:rFonts w:hint="eastAsia" w:ascii="仿宋_GB2312" w:eastAsia="仿宋_GB2312"/>
          <w:sz w:val="32"/>
          <w:szCs w:val="32"/>
          <w:lang w:val="en-US" w:eastAsia="zh-CN"/>
        </w:rPr>
        <w:t>增长18.73</w:t>
      </w:r>
      <w:r>
        <w:rPr>
          <w:rFonts w:hint="eastAsia" w:ascii="仿宋_GB2312" w:eastAsia="仿宋_GB2312"/>
          <w:sz w:val="32"/>
          <w:szCs w:val="32"/>
        </w:rPr>
        <w:t>%。主要是本年职工人数较去年增加2人相应的</w:t>
      </w:r>
      <w:r>
        <w:rPr>
          <w:rFonts w:hint="eastAsia" w:ascii="仿宋_GB2312" w:eastAsia="仿宋_GB2312"/>
          <w:sz w:val="32"/>
          <w:szCs w:val="32"/>
          <w:lang w:eastAsia="zh-CN"/>
        </w:rPr>
        <w:t>公务员医疗补助</w:t>
      </w:r>
      <w:r>
        <w:rPr>
          <w:rFonts w:hint="eastAsia" w:ascii="仿宋_GB2312" w:eastAsia="仿宋_GB2312"/>
          <w:sz w:val="32"/>
          <w:szCs w:val="32"/>
        </w:rPr>
        <w:t>缴费支出有所增加</w:t>
      </w:r>
      <w:r>
        <w:rPr>
          <w:rFonts w:hint="eastAsia" w:ascii="仿宋_GB2312" w:eastAsia="仿宋_GB2312"/>
          <w:sz w:val="32"/>
          <w:szCs w:val="32"/>
          <w:lang w:val="en-US" w:eastAsia="zh-CN"/>
        </w:rPr>
        <w:t>。</w:t>
      </w:r>
    </w:p>
    <w:p>
      <w:pPr>
        <w:ind w:firstLine="645"/>
        <w:rPr>
          <w:rFonts w:hint="default"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19.85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增加7.49</w:t>
      </w:r>
      <w:r>
        <w:rPr>
          <w:rFonts w:hint="eastAsia" w:ascii="仿宋_GB2312" w:eastAsia="仿宋_GB2312"/>
          <w:sz w:val="32"/>
          <w:szCs w:val="32"/>
        </w:rPr>
        <w:t>万元，</w:t>
      </w:r>
      <w:r>
        <w:rPr>
          <w:rFonts w:hint="eastAsia" w:ascii="仿宋_GB2312" w:eastAsia="仿宋_GB2312"/>
          <w:sz w:val="32"/>
          <w:szCs w:val="32"/>
          <w:lang w:val="en-US" w:eastAsia="zh-CN"/>
        </w:rPr>
        <w:t>增长60.60</w:t>
      </w:r>
      <w:r>
        <w:rPr>
          <w:rFonts w:hint="eastAsia" w:ascii="仿宋_GB2312" w:eastAsia="仿宋_GB2312"/>
          <w:sz w:val="32"/>
          <w:szCs w:val="32"/>
        </w:rPr>
        <w:t>%。主要是</w:t>
      </w:r>
      <w:r>
        <w:rPr>
          <w:rFonts w:hint="eastAsia" w:ascii="仿宋_GB2312" w:eastAsia="仿宋_GB2312"/>
          <w:i w:val="0"/>
          <w:iCs w:val="0"/>
          <w:sz w:val="32"/>
          <w:szCs w:val="32"/>
          <w:highlight w:val="none"/>
          <w:u w:val="none"/>
        </w:rPr>
        <w:t>本年职工人数较去年增加2人</w:t>
      </w:r>
      <w:r>
        <w:rPr>
          <w:rFonts w:hint="eastAsia" w:ascii="仿宋_GB2312" w:eastAsia="仿宋_GB2312"/>
          <w:i w:val="0"/>
          <w:iCs w:val="0"/>
          <w:sz w:val="32"/>
          <w:szCs w:val="32"/>
          <w:highlight w:val="none"/>
          <w:u w:val="none"/>
          <w:lang w:val="en-US" w:eastAsia="zh-CN"/>
        </w:rPr>
        <w:t>相应的</w:t>
      </w:r>
      <w:r>
        <w:rPr>
          <w:rFonts w:hint="eastAsia" w:ascii="仿宋_GB2312" w:eastAsia="仿宋_GB2312"/>
          <w:i w:val="0"/>
          <w:iCs w:val="0"/>
          <w:sz w:val="32"/>
          <w:szCs w:val="32"/>
          <w:lang w:val="en-US" w:eastAsia="zh-CN"/>
        </w:rPr>
        <w:t>住房保障支出有所增加</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湟源县档案馆2023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湟源县档案馆2023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277.98</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270.63</w:t>
      </w:r>
      <w:r>
        <w:rPr>
          <w:rFonts w:hint="eastAsia" w:ascii="仿宋_GB2312" w:eastAsia="仿宋_GB2312"/>
          <w:sz w:val="32"/>
          <w:szCs w:val="32"/>
        </w:rPr>
        <w:t>万元，主要包括：</w:t>
      </w:r>
      <w:r>
        <w:rPr>
          <w:rFonts w:hint="eastAsia" w:ascii="仿宋_GB2312" w:eastAsia="仿宋_GB2312"/>
          <w:sz w:val="32"/>
          <w:szCs w:val="32"/>
          <w:lang w:val="en-US" w:eastAsia="zh-CN"/>
        </w:rPr>
        <w:t>基本工资49.10万元、津贴补贴47.10万元、绩效工资74.57万元、机关事业单位基本养老保险缴费21.49万元、职业年金缴费10.75万元、职工基本医疗保险缴费7.94万元、公务员医疗补助缴费9.76万元、其他社会保障缴费0.86万元、住房公积金19.85万元、退休费22.09万元、医疗费补助7.13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7.35</w:t>
      </w:r>
      <w:r>
        <w:rPr>
          <w:rFonts w:hint="eastAsia" w:ascii="仿宋_GB2312" w:eastAsia="仿宋_GB2312"/>
          <w:sz w:val="32"/>
          <w:szCs w:val="32"/>
        </w:rPr>
        <w:t>万元，主要包括：</w:t>
      </w:r>
      <w:r>
        <w:rPr>
          <w:rFonts w:hint="eastAsia" w:ascii="仿宋_GB2312" w:eastAsia="仿宋_GB2312"/>
          <w:sz w:val="32"/>
          <w:szCs w:val="32"/>
          <w:lang w:val="en-US" w:eastAsia="zh-CN"/>
        </w:rPr>
        <w:t>办公费0.36万元、水费0.24万元、电费0.24万元、邮电费0.60万元、取暖费1.20万元、差旅费0.48万元、公务接待费0.24万元、工会经费2.44万元、公务用车运行维护费0.80万元、其他商品和服务支出0.75万元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湟源县档案馆2023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color w:val="auto"/>
          <w:sz w:val="32"/>
          <w:szCs w:val="32"/>
        </w:rPr>
      </w:pPr>
      <w:r>
        <w:rPr>
          <w:rFonts w:hint="eastAsia" w:ascii="仿宋_GB2312" w:eastAsia="仿宋_GB2312"/>
          <w:sz w:val="32"/>
          <w:szCs w:val="32"/>
          <w:lang w:val="en-US" w:eastAsia="zh-CN"/>
        </w:rPr>
        <w:t>湟源县档案馆2023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1.04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增加0.04</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0.24</w:t>
      </w:r>
      <w:r>
        <w:rPr>
          <w:rFonts w:hint="eastAsia" w:ascii="仿宋_GB2312" w:eastAsia="仿宋_GB2312"/>
          <w:sz w:val="32"/>
          <w:szCs w:val="32"/>
        </w:rPr>
        <w:t>万元，</w:t>
      </w:r>
      <w:r>
        <w:rPr>
          <w:rFonts w:hint="eastAsia" w:ascii="仿宋_GB2312" w:eastAsia="仿宋_GB2312"/>
          <w:sz w:val="32"/>
          <w:szCs w:val="32"/>
          <w:lang w:val="en-US" w:eastAsia="zh-CN"/>
        </w:rPr>
        <w:t>增加0.04</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hAnsi="仿宋" w:eastAsia="仿宋_GB2312"/>
          <w:color w:val="auto"/>
          <w:spacing w:val="-6"/>
          <w:kern w:val="2"/>
          <w:sz w:val="32"/>
          <w:szCs w:val="32"/>
          <w:lang w:val="en-US" w:eastAsia="zh-CN"/>
        </w:rPr>
        <w:t>本年公务接待费较去年有所增加</w:t>
      </w:r>
      <w:r>
        <w:rPr>
          <w:rFonts w:hint="eastAsia" w:ascii="仿宋_GB2312" w:eastAsia="仿宋_GB2312"/>
          <w:color w:val="auto"/>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湟源县档案馆2023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湟源县档案馆2023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湟源县档案馆</w:t>
      </w:r>
      <w:r>
        <w:rPr>
          <w:rFonts w:hint="eastAsia" w:ascii="仿宋_GB2312" w:hAnsi="仿宋" w:eastAsia="仿宋_GB2312"/>
          <w:spacing w:val="-6"/>
          <w:kern w:val="2"/>
          <w:sz w:val="32"/>
          <w:szCs w:val="32"/>
          <w:lang w:val="en-US"/>
        </w:rPr>
        <w:t>机关运行经费财政拨款预算7.35万元，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预算增加1.02万元，增长16.11%。主要是</w:t>
      </w:r>
      <w:r>
        <w:rPr>
          <w:rFonts w:hint="eastAsia" w:ascii="仿宋_GB2312" w:hAnsi="仿宋" w:eastAsia="仿宋_GB2312"/>
          <w:spacing w:val="-6"/>
          <w:kern w:val="2"/>
          <w:sz w:val="32"/>
          <w:szCs w:val="32"/>
          <w:lang w:val="en-US" w:eastAsia="zh-CN"/>
        </w:rPr>
        <w:t>本年较上年增加2名职工，相应的人均办公经费等有所增加</w:t>
      </w:r>
      <w:r>
        <w:rPr>
          <w:rFonts w:hint="eastAsia" w:ascii="仿宋_GB2312" w:hAnsi="仿宋" w:eastAsia="仿宋_GB2312"/>
          <w:spacing w:val="-6"/>
          <w:kern w:val="2"/>
          <w:sz w:val="32"/>
          <w:szCs w:val="32"/>
          <w:lang w:val="en-US"/>
        </w:rPr>
        <w:t>。</w:t>
      </w:r>
    </w:p>
    <w:p>
      <w:pPr>
        <w:numPr>
          <w:ilvl w:val="0"/>
          <w:numId w:val="1"/>
        </w:num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政府采购安排情况。</w:t>
      </w:r>
    </w:p>
    <w:p>
      <w:pPr>
        <w:numPr>
          <w:ilvl w:val="0"/>
          <w:numId w:val="0"/>
        </w:numPr>
        <w:adjustRightInd w:val="0"/>
        <w:snapToGrid w:val="0"/>
        <w:spacing w:line="56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湟源县档案馆各单位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湟源县档案馆所属各预算单位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湟源县档案馆</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30.00</w:t>
      </w:r>
      <w:r>
        <w:rPr>
          <w:rFonts w:hint="eastAsia" w:ascii="仿宋_GB2312" w:hAnsi="仿宋" w:eastAsia="仿宋_GB2312"/>
          <w:spacing w:val="-6"/>
          <w:kern w:val="2"/>
          <w:sz w:val="32"/>
          <w:szCs w:val="32"/>
          <w:lang w:val="en-US"/>
        </w:rPr>
        <w:t>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5"/>
        <w:tblW w:w="10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2"/>
        <w:gridCol w:w="1059"/>
        <w:gridCol w:w="2026"/>
        <w:gridCol w:w="699"/>
        <w:gridCol w:w="800"/>
        <w:gridCol w:w="1883"/>
        <w:gridCol w:w="792"/>
        <w:gridCol w:w="833"/>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74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917"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6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5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档案业务</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1.完成全县档案资料的收集、整理、保管和利用研究工作； 2.依法向社会提供档案查询服务工作； 3.抢救和保护重点档案； 4.征集有价值档案和重大活动档案； 5.宣传党和国家关于档案工作的方针、政策和法律法规，宣传档案工作在社会主义现代化中的作用； 6.通过培训增强各单位档案工作人员依法治档意识,提高档案业务水平和服务能力； 7.维持单位正常运转</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档案资料的收集、整理、保管、研究并依法向社会提供档案查询服务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档案工作的宣传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抢救和保护重点档案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档案培训</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征集有价值档案和重大活动档案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规范档案馆基础业务工作可持续性的促进作用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各单位、社会公众满意度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档案数字化扫描项目</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1.档案馆年度耗费的电能电量 2.定期对运行的电梯部件进行检查、加油、清楚积尘、调试安全装置的工作，包括电梯曳引钢丝绳的无损检测与润滑维护等。 3.依照国家相关规范，使消防系统、灭火器始终处于良好的运行状态，及时排查消防安全隐患，确保馆内的人身和财产安全 4.完成软件的日常运作维护工作、升级软件，保证软件的正常平稳运行； 5.集中供暖产生的热能费用</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档案异地备份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档案数字化</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可持续影响指标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建立档案安全保护机制，对档案可持续利用效果显著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各单位及社会公众的满意度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Times New Roman" w:eastAsia="仿宋_GB2312" w:cs="仿宋_GB2312"/>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反映机关事业单位实施养老保险制度由单位实际缴纳的职业年金支出。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）一般公共服务支出（类）档案事务（款）档案馆（项）：</w:t>
      </w:r>
      <w:r>
        <w:rPr>
          <w:rFonts w:hint="eastAsia" w:ascii="仿宋_GB2312" w:eastAsia="仿宋_GB2312"/>
          <w:sz w:val="32"/>
          <w:szCs w:val="32"/>
          <w:lang w:eastAsia="zh-CN"/>
        </w:rPr>
        <w:t>反映中央和地方各级档案馆的支出，包括档案资料征集，档案枪救、保护、编纂、修复、现代化管理，档案信息资源开发、提供、利用，档案馆设备购置、维护，档案陈列展览等方面的支出。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卫生健康支出（类）行政事业单位医疗（款）事业单位医疗（项）</w:t>
      </w:r>
      <w:r>
        <w:rPr>
          <w:rFonts w:hint="eastAsia" w:ascii="仿宋_GB2312" w:eastAsia="仿宋_GB2312"/>
          <w:b/>
          <w:bCs/>
          <w:sz w:val="32"/>
          <w:szCs w:val="32"/>
          <w:lang w:eastAsia="zh-CN"/>
        </w:rPr>
        <w:t>：</w:t>
      </w:r>
      <w:r>
        <w:rPr>
          <w:rFonts w:hint="eastAsia" w:ascii="仿宋_GB2312" w:hAnsi="Times New Roman" w:eastAsia="仿宋_GB2312" w:cs="Times New Roman"/>
          <w:kern w:val="2"/>
          <w:sz w:val="32"/>
          <w:szCs w:val="32"/>
          <w:lang w:val="en-US" w:eastAsia="zh-CN" w:bidi="ar"/>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卫生健康支出（类）行政事业单位医疗（款）公务员医疗补助（项）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w:t>
      </w:r>
      <w:r>
        <w:rPr>
          <w:rFonts w:hint="eastAsia" w:ascii="仿宋_GB2312" w:eastAsia="仿宋_GB2312"/>
          <w:b/>
          <w:bCs/>
          <w:sz w:val="32"/>
          <w:szCs w:val="32"/>
        </w:rPr>
        <w:t>住房保障支出（类）住房改革支出（款）住房公积金（项）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3C85D"/>
    <w:multiLevelType w:val="singleLevel"/>
    <w:tmpl w:val="9A53C8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51445"/>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8E3A7F"/>
    <w:rsid w:val="099A2423"/>
    <w:rsid w:val="099E1F14"/>
    <w:rsid w:val="09A34935"/>
    <w:rsid w:val="09B62700"/>
    <w:rsid w:val="0A033A90"/>
    <w:rsid w:val="0A2520A2"/>
    <w:rsid w:val="0A3F79A3"/>
    <w:rsid w:val="0A59408D"/>
    <w:rsid w:val="0AE61DC4"/>
    <w:rsid w:val="0AE75B3C"/>
    <w:rsid w:val="0AE95411"/>
    <w:rsid w:val="0AF344E1"/>
    <w:rsid w:val="0AFD2C6A"/>
    <w:rsid w:val="0AFD318D"/>
    <w:rsid w:val="0B9335CE"/>
    <w:rsid w:val="0BBF43C3"/>
    <w:rsid w:val="0BC3085D"/>
    <w:rsid w:val="0BE718B9"/>
    <w:rsid w:val="0C1666D9"/>
    <w:rsid w:val="0C33338D"/>
    <w:rsid w:val="0C3837AD"/>
    <w:rsid w:val="0C461B4F"/>
    <w:rsid w:val="0CB620EA"/>
    <w:rsid w:val="0CBF274A"/>
    <w:rsid w:val="0CCE0D62"/>
    <w:rsid w:val="0CE83E39"/>
    <w:rsid w:val="0D10137A"/>
    <w:rsid w:val="0D103128"/>
    <w:rsid w:val="0D1177B8"/>
    <w:rsid w:val="0D134B2B"/>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A74F43"/>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746FE"/>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37598E"/>
    <w:rsid w:val="1C76487C"/>
    <w:rsid w:val="1C784475"/>
    <w:rsid w:val="1CDA7AC0"/>
    <w:rsid w:val="1CDC4DD5"/>
    <w:rsid w:val="1CDD0B4D"/>
    <w:rsid w:val="1CF7709A"/>
    <w:rsid w:val="1D0C39AB"/>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5151F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6A19BB"/>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2E1AF9"/>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8B3228"/>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C80763"/>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A02A3A"/>
    <w:rsid w:val="3FCF2120"/>
    <w:rsid w:val="3FDD6F27"/>
    <w:rsid w:val="3FEA0D08"/>
    <w:rsid w:val="402971CE"/>
    <w:rsid w:val="402B55A8"/>
    <w:rsid w:val="403F5BFA"/>
    <w:rsid w:val="4047615A"/>
    <w:rsid w:val="40583EC3"/>
    <w:rsid w:val="40D519B8"/>
    <w:rsid w:val="40DE086C"/>
    <w:rsid w:val="40E81285"/>
    <w:rsid w:val="419A2DBD"/>
    <w:rsid w:val="41E2613A"/>
    <w:rsid w:val="41FA16D6"/>
    <w:rsid w:val="42445FBE"/>
    <w:rsid w:val="42650575"/>
    <w:rsid w:val="42700A46"/>
    <w:rsid w:val="4281555E"/>
    <w:rsid w:val="42930BD6"/>
    <w:rsid w:val="43000F6E"/>
    <w:rsid w:val="430B346F"/>
    <w:rsid w:val="43140575"/>
    <w:rsid w:val="431467C7"/>
    <w:rsid w:val="43210EE4"/>
    <w:rsid w:val="432A62D3"/>
    <w:rsid w:val="433C5D1E"/>
    <w:rsid w:val="4350530C"/>
    <w:rsid w:val="43BB4117"/>
    <w:rsid w:val="43C27FD1"/>
    <w:rsid w:val="43D67F21"/>
    <w:rsid w:val="43FD391B"/>
    <w:rsid w:val="440A59E9"/>
    <w:rsid w:val="44412933"/>
    <w:rsid w:val="445D5F4C"/>
    <w:rsid w:val="446A2417"/>
    <w:rsid w:val="44703ED1"/>
    <w:rsid w:val="44B32010"/>
    <w:rsid w:val="44D04970"/>
    <w:rsid w:val="44E421C9"/>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0C0572"/>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057203"/>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2ECE"/>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464F22"/>
    <w:rsid w:val="5B57504B"/>
    <w:rsid w:val="5B793B29"/>
    <w:rsid w:val="5B8449DB"/>
    <w:rsid w:val="5B9B13DC"/>
    <w:rsid w:val="5BB64468"/>
    <w:rsid w:val="5BCD22B6"/>
    <w:rsid w:val="5BD41FC1"/>
    <w:rsid w:val="5BF907F8"/>
    <w:rsid w:val="5C237623"/>
    <w:rsid w:val="5CAC7619"/>
    <w:rsid w:val="5CB169DD"/>
    <w:rsid w:val="5D096819"/>
    <w:rsid w:val="5D135E9A"/>
    <w:rsid w:val="5D4F5F4A"/>
    <w:rsid w:val="5DA01C0C"/>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024B23"/>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86205"/>
    <w:rsid w:val="683B0A95"/>
    <w:rsid w:val="687F50CC"/>
    <w:rsid w:val="688E20AC"/>
    <w:rsid w:val="689A2A1B"/>
    <w:rsid w:val="68C208E3"/>
    <w:rsid w:val="68D75C06"/>
    <w:rsid w:val="68DE6DAC"/>
    <w:rsid w:val="693D1D24"/>
    <w:rsid w:val="694806C9"/>
    <w:rsid w:val="699B6A4B"/>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A43E6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82467D"/>
    <w:rsid w:val="6EB34837"/>
    <w:rsid w:val="6EEB3447"/>
    <w:rsid w:val="6EF536BE"/>
    <w:rsid w:val="6EF966EE"/>
    <w:rsid w:val="6F165DD9"/>
    <w:rsid w:val="6F204B98"/>
    <w:rsid w:val="6F213E96"/>
    <w:rsid w:val="6F282B2F"/>
    <w:rsid w:val="6F2B261F"/>
    <w:rsid w:val="6F467459"/>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3E13BF4"/>
    <w:rsid w:val="74033B6B"/>
    <w:rsid w:val="741527AA"/>
    <w:rsid w:val="74373814"/>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8F0937"/>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BF19AF"/>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6593</Words>
  <Characters>7909</Characters>
  <Lines>43</Lines>
  <Paragraphs>12</Paragraphs>
  <TotalTime>0</TotalTime>
  <ScaleCrop>false</ScaleCrop>
  <LinksUpToDate>false</LinksUpToDate>
  <CharactersWithSpaces>8019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2023-06-08T08:39:05Z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D17BE802BAE54B4497CA7F6DE382EE38_13</vt:lpwstr>
  </property>
</Properties>
</file>