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湟源县供销合作社联合社</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（一）宣传贯彻省委、省政府、市委、市政府和县委、县政府有关农牧区供销合作社发展、改革的方针政策。</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（二）负责拟定全县供销合作社发展规划；负责全县供销合作社成员社的监督管理、服务协调、教育培训等工作。</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（三）根据上级工作安排，对重要农牧业生产资料、农副产品经营进行组织、协调和管理；承担政府委托的公益性服务。</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（四）维护全县供销合作社合法权益。</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五）协调同有关部门的关系，指导成员社的业务活动，开展农村合作金融服务工作，开展电子商务等农牧民现代流通服务网络工作，推进基层社、综合服务社建设，领办创办农民专业合作社，更好履行为农服务职责。</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（六）管理本级社有资产营运，确保社有企业为农服务方向，履行社有资产监管职责，落实社有资产保值增值和安全责任。</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（七）完成县委、县政府交办的其他任务。</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（八）职能转变。创新供销合作社联合社治理机制，增强服务“三农”的综合实力。构建联合社主导的行业指导体系，构建社有企业支撑的经营服务体系，理顺联合社与社有企业的关系，创新联合社治理机构。</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湟源县供销合作社联合社设2个内设机构：综合室、供销业务室。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highlight w:val="none"/>
          <w:lang w:val="en-US" w:eastAsia="zh-CN"/>
        </w:rPr>
        <w:t>纳入湟源县供销合作社联合社2023年部门预算编制范围的二级预算单位</w:t>
      </w:r>
      <w:r>
        <w:rPr>
          <w:rFonts w:hint="eastAsia" w:ascii="仿宋_GB2312" w:eastAsia="仿宋_GB2312"/>
          <w:sz w:val="32"/>
          <w:szCs w:val="32"/>
          <w:lang w:val="en-US"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178.94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117.59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178.94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569.11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390.17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569.11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569.11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569.11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湟源县发展和改革局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569.11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湟源县供销合作社联合社</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569.11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390.17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637" w:type="dxa"/>
        <w:jc w:val="center"/>
        <w:tblLayout w:type="fixed"/>
        <w:tblCellMar>
          <w:top w:w="0" w:type="dxa"/>
          <w:left w:w="108" w:type="dxa"/>
          <w:bottom w:w="0" w:type="dxa"/>
          <w:right w:w="108" w:type="dxa"/>
        </w:tblCellMar>
      </w:tblPr>
      <w:tblGrid>
        <w:gridCol w:w="1100"/>
        <w:gridCol w:w="3814"/>
        <w:gridCol w:w="1139"/>
        <w:gridCol w:w="1139"/>
        <w:gridCol w:w="1139"/>
        <w:gridCol w:w="1084"/>
        <w:gridCol w:w="1089"/>
        <w:gridCol w:w="1133"/>
      </w:tblGrid>
      <w:tr>
        <w:tblPrEx>
          <w:tblCellMar>
            <w:top w:w="0" w:type="dxa"/>
            <w:left w:w="108" w:type="dxa"/>
            <w:bottom w:w="0" w:type="dxa"/>
            <w:right w:w="108" w:type="dxa"/>
          </w:tblCellMar>
        </w:tblPrEx>
        <w:trPr>
          <w:trHeight w:val="187" w:hRule="atLeast"/>
          <w:jc w:val="center"/>
        </w:trPr>
        <w:tc>
          <w:tcPr>
            <w:tcW w:w="11637"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637"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637"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569.11</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165.94</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403.17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20113</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商贸事务</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2011399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其他商贸事务支出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104.59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34.83</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34.83</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34.19</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12.34</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12.34</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15.68</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15.68</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5.73</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5.73</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其他农业农村支出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商业服务业等支出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商业流通事务</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2160299</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其他商业流通事务支出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11.52</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1066"/>
        <w:gridCol w:w="1625"/>
        <w:gridCol w:w="1273"/>
        <w:gridCol w:w="121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8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71"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5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178.94</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569.11</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569.11</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178.94</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117.59</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117.59</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34.83</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34.83</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20.17</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20.17</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370.00</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370.00</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11.52</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11.52</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390.17</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390.17</w:t>
            </w:r>
          </w:p>
        </w:tc>
        <w:tc>
          <w:tcPr>
            <w:tcW w:w="1625" w:type="dxa"/>
            <w:shd w:val="clear" w:color="auto" w:fill="FFFFFF"/>
            <w:noWrap/>
            <w:vAlign w:val="center"/>
          </w:tcPr>
          <w:p>
            <w:pPr>
              <w:widowControl/>
              <w:jc w:val="left"/>
              <w:rPr>
                <w:rFonts w:ascii="宋体" w:hAnsi="宋体" w:cs="宋体"/>
                <w:kern w:val="0"/>
                <w:sz w:val="20"/>
              </w:rPr>
            </w:pP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66" w:type="dxa"/>
            <w:shd w:val="clear" w:color="auto" w:fill="FFFFFF"/>
            <w:noWrap/>
            <w:vAlign w:val="center"/>
          </w:tcPr>
          <w:p>
            <w:pPr>
              <w:widowControl/>
              <w:jc w:val="center"/>
              <w:rPr>
                <w:rFonts w:ascii="宋体" w:hAnsi="宋体" w:cs="宋体"/>
                <w:kern w:val="0"/>
                <w:sz w:val="20"/>
              </w:rPr>
            </w:pPr>
          </w:p>
        </w:tc>
        <w:tc>
          <w:tcPr>
            <w:tcW w:w="1625" w:type="dxa"/>
            <w:shd w:val="clear" w:color="auto" w:fill="FFFFFF"/>
            <w:noWrap/>
            <w:vAlign w:val="center"/>
          </w:tcPr>
          <w:p>
            <w:pPr>
              <w:widowControl/>
              <w:jc w:val="left"/>
              <w:rPr>
                <w:rFonts w:ascii="宋体" w:hAnsi="宋体" w:cs="宋体"/>
                <w:kern w:val="0"/>
                <w:sz w:val="20"/>
              </w:rPr>
            </w:pP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6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569.11</w:t>
            </w:r>
          </w:p>
        </w:tc>
        <w:tc>
          <w:tcPr>
            <w:tcW w:w="16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569.11</w:t>
            </w:r>
          </w:p>
        </w:tc>
        <w:tc>
          <w:tcPr>
            <w:tcW w:w="121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569.11</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4048"/>
        <w:gridCol w:w="1233"/>
        <w:gridCol w:w="1300"/>
        <w:gridCol w:w="1379"/>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2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91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40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2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40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29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178.94</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165.94</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117.59</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104.59</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商贸事务</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117.59</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104.59</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其他商贸事务支出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117.59</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104.59</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34.83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34.83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34.19</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34.19</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12.34</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12.34</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6.17</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6.17</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15.68</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15.68</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0.65</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0.65</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0.65</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0.65</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9.27</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9.27</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5.73</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4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23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11.52</w:t>
            </w:r>
          </w:p>
        </w:tc>
        <w:tc>
          <w:tcPr>
            <w:tcW w:w="13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148"/>
        <w:gridCol w:w="2265"/>
        <w:gridCol w:w="2265"/>
        <w:gridCol w:w="226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4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9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48"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165.94</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160.49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140.19</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140.19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29.29</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29.29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28.16</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41.68</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41.68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12.34</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4.66</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5.73</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5.73</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11.52</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5.45</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20.29</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20.29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14.00</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c>
          <w:tcPr>
            <w:tcW w:w="22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湟源县供销合作社联合社2023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湟源县供销合作社联合社</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一般公共预算拨款收入178.94万元，上年结转390.17万元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一般公共服务支出117.59万元，社会保障和就业支出34.83万元，卫生健康支出15.00万元，农林水支出20.17万元，商业服务业等支出370.00万元，住房保障支出11.52万元</w:t>
      </w:r>
      <w:r>
        <w:rPr>
          <w:rFonts w:hint="eastAsia" w:ascii="仿宋_GB2312" w:eastAsia="仿宋_GB2312"/>
          <w:sz w:val="32"/>
          <w:szCs w:val="32"/>
        </w:rPr>
        <w:t>。</w:t>
      </w: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年收支总预算</w:t>
      </w:r>
      <w:r>
        <w:rPr>
          <w:rFonts w:hint="eastAsia" w:ascii="仿宋_GB2312" w:eastAsia="仿宋_GB2312"/>
          <w:sz w:val="32"/>
          <w:szCs w:val="32"/>
          <w:lang w:val="en-US" w:eastAsia="zh-CN"/>
        </w:rPr>
        <w:t>569.11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湟源县供销合作社联合社2023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年收入预算</w:t>
      </w:r>
      <w:r>
        <w:rPr>
          <w:rFonts w:hint="eastAsia" w:ascii="仿宋_GB2312" w:eastAsia="仿宋_GB2312"/>
          <w:sz w:val="32"/>
          <w:szCs w:val="32"/>
          <w:lang w:val="en-US" w:eastAsia="zh-CN"/>
        </w:rPr>
        <w:t>569.11</w:t>
      </w:r>
      <w:r>
        <w:rPr>
          <w:rFonts w:hint="eastAsia" w:ascii="仿宋_GB2312" w:eastAsia="仿宋_GB2312"/>
          <w:sz w:val="32"/>
          <w:szCs w:val="32"/>
        </w:rPr>
        <w:t>万元，其中：</w:t>
      </w:r>
      <w:r>
        <w:rPr>
          <w:rFonts w:hint="eastAsia" w:ascii="仿宋_GB2312" w:eastAsia="仿宋_GB2312"/>
          <w:sz w:val="32"/>
          <w:szCs w:val="32"/>
          <w:lang w:val="en-US" w:eastAsia="zh-CN"/>
        </w:rPr>
        <w:t>上年结转390.17万元，占68.56%；一般公共预算拨款收入178.94万元，占31.44%</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5pt;width:353.3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湟源县供销合作社联合社2023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年支出预算</w:t>
      </w:r>
      <w:r>
        <w:rPr>
          <w:rFonts w:hint="eastAsia" w:ascii="仿宋_GB2312" w:eastAsia="仿宋_GB2312"/>
          <w:sz w:val="32"/>
          <w:szCs w:val="32"/>
          <w:lang w:val="en-US" w:eastAsia="zh-CN"/>
        </w:rPr>
        <w:t>569.11</w:t>
      </w:r>
      <w:r>
        <w:rPr>
          <w:rFonts w:hint="eastAsia" w:ascii="仿宋_GB2312" w:eastAsia="仿宋_GB2312"/>
          <w:sz w:val="32"/>
          <w:szCs w:val="32"/>
        </w:rPr>
        <w:t>万元，其中：</w:t>
      </w:r>
      <w:r>
        <w:rPr>
          <w:rFonts w:hint="eastAsia" w:ascii="仿宋_GB2312" w:eastAsia="仿宋_GB2312"/>
          <w:sz w:val="32"/>
          <w:szCs w:val="32"/>
          <w:lang w:val="en-US" w:eastAsia="zh-CN"/>
        </w:rPr>
        <w:t>基本支出165.94万元，占29.16%；项目支出403.17万元，占70.84%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9pt;width:354.1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湟源县供销合作社联合社2023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供销合作社联合社2023年财政拨款收支总预算569.11万元，比上年减少147.50万元，主要是供销改革发展项目减少。收入包括：一般公共预算拨款收入178.94万元，上年结转390.17万元；政府性基金预算拨款收入0.00万元，上年结转0.00万元。支出包括： 一般公共服务支出117.59万元， 社会保障和就业支出34.83万元， 卫生健康支出15.00万元， 农林水支出20.17万元， 商业服务业等支出370.00万元， 住房保障支出11.52万元。</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8.7pt;width:344.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湟源县供销合作社联合社2023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178.94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增加57.50</w:t>
      </w:r>
      <w:r>
        <w:rPr>
          <w:rFonts w:hint="eastAsia" w:ascii="仿宋_GB2312" w:eastAsia="仿宋_GB2312"/>
          <w:sz w:val="32"/>
          <w:szCs w:val="32"/>
        </w:rPr>
        <w:t>万元，主要是</w:t>
      </w:r>
      <w:r>
        <w:rPr>
          <w:rFonts w:hint="eastAsia" w:ascii="仿宋_GB2312" w:eastAsia="仿宋_GB2312"/>
          <w:sz w:val="32"/>
          <w:szCs w:val="32"/>
          <w:lang w:val="en-US" w:eastAsia="zh-CN"/>
        </w:rPr>
        <w:t>基数增加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7.25pt;width:342.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一般公共服务支出117.59万元，占65.71%；社会保障和就业支出34.83万元，占19.46%；卫生健康支出15.00万元，占8.38%；住房保障支出11.52万元，占6.44%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9.2pt;width:346.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商贸事务</w:t>
      </w:r>
      <w:r>
        <w:rPr>
          <w:rFonts w:hint="eastAsia" w:ascii="仿宋_GB2312" w:eastAsia="仿宋_GB2312"/>
          <w:sz w:val="32"/>
          <w:szCs w:val="32"/>
        </w:rPr>
        <w:t>（款）</w:t>
      </w:r>
      <w:r>
        <w:rPr>
          <w:rFonts w:hint="eastAsia" w:ascii="仿宋_GB2312" w:eastAsia="仿宋_GB2312"/>
          <w:sz w:val="32"/>
          <w:szCs w:val="32"/>
          <w:lang w:val="en-US" w:eastAsia="zh-CN"/>
        </w:rPr>
        <w:t>其他商贸事务支出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117.59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增加40.91</w:t>
      </w:r>
      <w:r>
        <w:rPr>
          <w:rFonts w:hint="eastAsia" w:ascii="仿宋_GB2312" w:eastAsia="仿宋_GB2312"/>
          <w:sz w:val="32"/>
          <w:szCs w:val="32"/>
        </w:rPr>
        <w:t>万元，</w:t>
      </w:r>
      <w:r>
        <w:rPr>
          <w:rFonts w:hint="eastAsia" w:ascii="仿宋_GB2312" w:eastAsia="仿宋_GB2312"/>
          <w:sz w:val="32"/>
          <w:szCs w:val="32"/>
          <w:lang w:val="en-US" w:eastAsia="zh-CN"/>
        </w:rPr>
        <w:t>增长53.35</w:t>
      </w:r>
      <w:r>
        <w:rPr>
          <w:rFonts w:hint="eastAsia" w:ascii="仿宋_GB2312" w:eastAsia="仿宋_GB2312"/>
          <w:sz w:val="32"/>
          <w:szCs w:val="32"/>
        </w:rPr>
        <w:t>%。</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人员增加，专项经费较上年增长。</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增加5.20</w:t>
      </w:r>
      <w:r>
        <w:rPr>
          <w:rFonts w:hint="eastAsia" w:ascii="仿宋_GB2312" w:eastAsia="仿宋_GB2312"/>
          <w:sz w:val="32"/>
          <w:szCs w:val="32"/>
        </w:rPr>
        <w:t>万元，</w:t>
      </w:r>
      <w:r>
        <w:rPr>
          <w:rFonts w:hint="eastAsia" w:ascii="仿宋_GB2312" w:eastAsia="仿宋_GB2312"/>
          <w:sz w:val="32"/>
          <w:szCs w:val="32"/>
          <w:lang w:val="en-US" w:eastAsia="zh-CN"/>
        </w:rPr>
        <w:t>增长72.83</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增加2.60</w:t>
      </w:r>
      <w:r>
        <w:rPr>
          <w:rFonts w:hint="eastAsia" w:ascii="仿宋_GB2312" w:eastAsia="仿宋_GB2312"/>
          <w:sz w:val="32"/>
          <w:szCs w:val="32"/>
        </w:rPr>
        <w:t>万元，</w:t>
      </w:r>
      <w:r>
        <w:rPr>
          <w:rFonts w:hint="eastAsia" w:ascii="仿宋_GB2312" w:eastAsia="仿宋_GB2312"/>
          <w:sz w:val="32"/>
          <w:szCs w:val="32"/>
          <w:lang w:val="en-US" w:eastAsia="zh-CN"/>
        </w:rPr>
        <w:t>增长72.83</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增加0.77</w:t>
      </w:r>
      <w:r>
        <w:rPr>
          <w:rFonts w:hint="eastAsia" w:ascii="仿宋_GB2312" w:eastAsia="仿宋_GB2312"/>
          <w:sz w:val="32"/>
          <w:szCs w:val="32"/>
        </w:rPr>
        <w:t>万元，</w:t>
      </w:r>
      <w:r>
        <w:rPr>
          <w:rFonts w:hint="eastAsia" w:ascii="仿宋_GB2312" w:eastAsia="仿宋_GB2312"/>
          <w:sz w:val="32"/>
          <w:szCs w:val="32"/>
          <w:lang w:val="en-US" w:eastAsia="zh-CN"/>
        </w:rPr>
        <w:t>增长5.16</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增加0.16</w:t>
      </w:r>
      <w:r>
        <w:rPr>
          <w:rFonts w:hint="eastAsia" w:ascii="仿宋_GB2312" w:eastAsia="仿宋_GB2312"/>
          <w:sz w:val="32"/>
          <w:szCs w:val="32"/>
        </w:rPr>
        <w:t>万元，</w:t>
      </w:r>
      <w:r>
        <w:rPr>
          <w:rFonts w:hint="eastAsia" w:ascii="仿宋_GB2312" w:eastAsia="仿宋_GB2312"/>
          <w:sz w:val="32"/>
          <w:szCs w:val="32"/>
          <w:lang w:val="en-US" w:eastAsia="zh-CN"/>
        </w:rPr>
        <w:t>增长32.65</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增加1.39</w:t>
      </w:r>
      <w:r>
        <w:rPr>
          <w:rFonts w:hint="eastAsia" w:ascii="仿宋_GB2312" w:eastAsia="仿宋_GB2312"/>
          <w:sz w:val="32"/>
          <w:szCs w:val="32"/>
        </w:rPr>
        <w:t>万元，</w:t>
      </w:r>
      <w:r>
        <w:rPr>
          <w:rFonts w:hint="eastAsia" w:ascii="仿宋_GB2312" w:eastAsia="仿宋_GB2312"/>
          <w:sz w:val="32"/>
          <w:szCs w:val="32"/>
          <w:lang w:val="en-US" w:eastAsia="zh-CN"/>
        </w:rPr>
        <w:t>增长17.64</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增加1.42</w:t>
      </w:r>
      <w:r>
        <w:rPr>
          <w:rFonts w:hint="eastAsia" w:ascii="仿宋_GB2312" w:eastAsia="仿宋_GB2312"/>
          <w:sz w:val="32"/>
          <w:szCs w:val="32"/>
        </w:rPr>
        <w:t>万元，</w:t>
      </w:r>
      <w:r>
        <w:rPr>
          <w:rFonts w:hint="eastAsia" w:ascii="仿宋_GB2312" w:eastAsia="仿宋_GB2312"/>
          <w:sz w:val="32"/>
          <w:szCs w:val="32"/>
          <w:lang w:val="en-US" w:eastAsia="zh-CN"/>
        </w:rPr>
        <w:t>增长32.95</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11.52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增加5.05</w:t>
      </w:r>
      <w:r>
        <w:rPr>
          <w:rFonts w:hint="eastAsia" w:ascii="仿宋_GB2312" w:eastAsia="仿宋_GB2312"/>
          <w:sz w:val="32"/>
          <w:szCs w:val="32"/>
        </w:rPr>
        <w:t>万元，</w:t>
      </w:r>
      <w:r>
        <w:rPr>
          <w:rFonts w:hint="eastAsia" w:ascii="仿宋_GB2312" w:eastAsia="仿宋_GB2312"/>
          <w:sz w:val="32"/>
          <w:szCs w:val="32"/>
          <w:lang w:val="en-US" w:eastAsia="zh-CN"/>
        </w:rPr>
        <w:t>增长78.05</w:t>
      </w:r>
      <w:r>
        <w:rPr>
          <w:rFonts w:hint="eastAsia" w:ascii="仿宋_GB2312" w:eastAsia="仿宋_GB2312"/>
          <w:sz w:val="32"/>
          <w:szCs w:val="32"/>
        </w:rPr>
        <w:t>%。主要是</w:t>
      </w:r>
      <w:r>
        <w:rPr>
          <w:rFonts w:hint="eastAsia" w:ascii="仿宋_GB2312" w:eastAsia="仿宋_GB2312"/>
          <w:sz w:val="32"/>
          <w:szCs w:val="32"/>
          <w:lang w:val="en-US" w:eastAsia="zh-CN"/>
        </w:rPr>
        <w:t>缴费基数增加。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湟源县供销合作社联合社2023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165.94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160.49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29.29万元、津贴补贴28.16万元、绩效工资41.68万元、机关事业单位基本养老保险缴费12.34万元、职业年金缴费6.17万元、职工基本医疗保险缴费4.66万元、公务员医疗补助缴费5.73万元、其他社会保障缴费0.65万元、住房公积金11.52万元、退休费14.00万元、生活补助1.69万元、医疗费补助4.61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5.45</w:t>
      </w:r>
      <w:r>
        <w:rPr>
          <w:rFonts w:hint="eastAsia" w:ascii="仿宋_GB2312" w:eastAsia="仿宋_GB2312"/>
          <w:sz w:val="32"/>
          <w:szCs w:val="32"/>
        </w:rPr>
        <w:t>万元，主要包括：</w:t>
      </w:r>
      <w:r>
        <w:rPr>
          <w:rFonts w:hint="eastAsia" w:ascii="仿宋_GB2312" w:eastAsia="仿宋_GB2312"/>
          <w:sz w:val="32"/>
          <w:szCs w:val="32"/>
          <w:lang w:val="en-US" w:eastAsia="zh-CN"/>
        </w:rPr>
        <w:t>办公费0.56万元、水费0.14万元、电费0.14万元、邮电费0.42万元、取暖费0.70万元、差旅费0.42万元、公务接待费0.14万元、工会经费1.43万元、公务用车运行维护费0.90万元、其他商品和服务支出0.60万元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湟源县供销合作社联合社2023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red"/>
          <w:lang w:eastAsia="zh-CN"/>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lang w:val="en-US" w:eastAsia="zh-CN"/>
        </w:rPr>
        <w:t>增加0.04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sz w:val="32"/>
          <w:szCs w:val="32"/>
          <w:highlight w:val="none"/>
          <w:lang w:eastAsia="zh-CN"/>
        </w:rPr>
        <w:t>本年人员增加，公务接待预算增加。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湟源县供销合作社联合社2023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湟源县供销合作社联合社2023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2023年湟源县供销合作社联合社机关运行经费财政拨款预算5.45万元，比上年预算增加1.19万元，增长27.93%。</w:t>
      </w:r>
      <w:r>
        <w:rPr>
          <w:rFonts w:hint="eastAsia" w:ascii="仿宋_GB2312" w:eastAsia="仿宋_GB2312"/>
          <w:sz w:val="32"/>
          <w:szCs w:val="32"/>
          <w:highlight w:val="none"/>
          <w:lang w:val="en-US" w:eastAsia="zh-CN"/>
        </w:rPr>
        <w:t>主要是人员增加，公用经费较上年增长。</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bookmarkStart w:id="6" w:name="_GoBack"/>
      <w:bookmarkEnd w:id="6"/>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湟源县供销合作社联合社各单位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湟源县供销合作社联合社所属各预算单位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湟源县供销合作社联合社</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13.00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2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2"/>
        <w:gridCol w:w="1056"/>
        <w:gridCol w:w="1933"/>
        <w:gridCol w:w="699"/>
        <w:gridCol w:w="767"/>
        <w:gridCol w:w="1866"/>
        <w:gridCol w:w="792"/>
        <w:gridCol w:w="875"/>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6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43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6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供销社电费经费</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2022年电费</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电费经费项目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单位运行成效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单位满意度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供销社工作经费</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主要用于供销社改革发展项目开展中的取暖费，车辆经费，人员经费，基层供销社资产管理，发展农民专业合作社，促进三农服务。</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服务三农人数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2567</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促进农民发展专业合作社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增加农民收入，提高农民生活质量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换届经费</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通过选举产生理事，监事，更好推动了供销事业发展</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人数49</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产生了监事会理事会常任理事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选举圆满成功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）一般公共服务支出（类）商贸事务（款）其他商贸事务支出（项）：</w:t>
      </w:r>
      <w:r>
        <w:rPr>
          <w:rFonts w:hint="eastAsia" w:ascii="仿宋_GB2312" w:eastAsia="仿宋_GB2312"/>
          <w:sz w:val="32"/>
          <w:szCs w:val="32"/>
          <w:lang w:eastAsia="zh-CN"/>
        </w:rPr>
        <w:t>反映除上述项目以外其他用于商贸事务方面的支出。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950BBF"/>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7E4A57"/>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AD7DE5"/>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E3591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4B5033"/>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397677"/>
    <w:rsid w:val="4D7178A9"/>
    <w:rsid w:val="4D8C0AFD"/>
    <w:rsid w:val="4DA62712"/>
    <w:rsid w:val="4DDD4434"/>
    <w:rsid w:val="4E173610"/>
    <w:rsid w:val="4E2118E3"/>
    <w:rsid w:val="4E265601"/>
    <w:rsid w:val="4E4F6905"/>
    <w:rsid w:val="4EA336D8"/>
    <w:rsid w:val="4EA36C51"/>
    <w:rsid w:val="4EDB6548"/>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465BF4"/>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5327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445F90"/>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08C8"/>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6722</Words>
  <Characters>8188</Characters>
  <Lines>43</Lines>
  <Paragraphs>12</Paragraphs>
  <TotalTime>0</TotalTime>
  <ScaleCrop>false</ScaleCrop>
  <LinksUpToDate>false</LinksUpToDate>
  <CharactersWithSpaces>8291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2023-06-08T03:26:58Z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7A69AE114B57412AB8E951F5BD132407_13</vt:lpwstr>
  </property>
</Properties>
</file>