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湟源县疾病预防控制中心</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keepNext w:val="0"/>
        <w:keepLines w:val="0"/>
        <w:widowControl/>
        <w:suppressLineNumbers w:val="0"/>
        <w:ind w:firstLine="640" w:firstLineChars="20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湟源县疾病预防控制中心是一个全额拨款的社会福利性</w:t>
      </w:r>
      <w:r>
        <w:rPr>
          <w:rFonts w:hint="eastAsia" w:ascii="仿宋_GB2312" w:hAnsi="仿宋_GB2312" w:eastAsia="仿宋_GB2312" w:cs="仿宋_GB2312"/>
          <w:color w:val="000000"/>
          <w:kern w:val="0"/>
          <w:sz w:val="32"/>
          <w:szCs w:val="32"/>
          <w:lang w:val="en-US" w:eastAsia="zh-CN" w:bidi="ar"/>
        </w:rPr>
        <w:t>卫</w:t>
      </w:r>
      <w:r>
        <w:rPr>
          <w:rFonts w:ascii="仿宋_GB2312" w:hAnsi="仿宋_GB2312" w:eastAsia="仿宋_GB2312" w:cs="仿宋_GB2312"/>
          <w:color w:val="000000"/>
          <w:kern w:val="0"/>
          <w:sz w:val="32"/>
          <w:szCs w:val="32"/>
          <w:lang w:val="en-US" w:eastAsia="zh-CN" w:bidi="ar"/>
        </w:rPr>
        <w:t>生事业单位，承担着全县卫生检验、各种地方病、各种传染病</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各种慢性疾病、重性精神疾病、食品安全检测、饮水监测、环境 检测等工作重任，是全县疾病预防控制工作业务技术指导中心和培训场所</w:t>
      </w:r>
      <w:r>
        <w:rPr>
          <w:rFonts w:hint="eastAsia" w:ascii="仿宋_GB2312" w:hAnsi="仿宋_GB2312" w:eastAsia="仿宋_GB2312" w:cs="仿宋_GB2312"/>
          <w:color w:val="000000"/>
          <w:kern w:val="0"/>
          <w:sz w:val="32"/>
          <w:szCs w:val="32"/>
          <w:lang w:val="en-US" w:eastAsia="zh-CN" w:bidi="ar"/>
        </w:rPr>
        <w:t>。</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我单位内设机构1个。本中心编制人数24人，在职人数为22人，2022年底实有人数28人。</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val="en-US" w:eastAsia="zh-CN"/>
        </w:rPr>
        <w:t>纳入湟源县疾病预防控制中心2023年部门预算编制范围的二级预算单位包括：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fixed"/>
        <w:tblCellMar>
          <w:top w:w="0" w:type="dxa"/>
          <w:left w:w="108" w:type="dxa"/>
          <w:bottom w:w="0" w:type="dxa"/>
          <w:right w:w="108" w:type="dxa"/>
        </w:tblCellMar>
      </w:tblPr>
      <w:tblGrid>
        <w:gridCol w:w="3555"/>
        <w:gridCol w:w="1500"/>
        <w:gridCol w:w="3240"/>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05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8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5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717.81</w:t>
            </w: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107.72</w:t>
            </w: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597.12</w:t>
            </w: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41.95</w:t>
            </w: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717.81</w:t>
            </w: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746.80</w:t>
            </w: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28.99</w:t>
            </w: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746.80</w:t>
            </w:r>
          </w:p>
        </w:tc>
        <w:tc>
          <w:tcPr>
            <w:tcW w:w="32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746.80</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216" w:type="dxa"/>
        <w:jc w:val="center"/>
        <w:tblLayout w:type="fixed"/>
        <w:tblCellMar>
          <w:top w:w="0" w:type="dxa"/>
          <w:left w:w="108" w:type="dxa"/>
          <w:bottom w:w="0" w:type="dxa"/>
          <w:right w:w="108" w:type="dxa"/>
        </w:tblCellMar>
      </w:tblPr>
      <w:tblGrid>
        <w:gridCol w:w="1086"/>
        <w:gridCol w:w="1054"/>
        <w:gridCol w:w="979"/>
        <w:gridCol w:w="975"/>
        <w:gridCol w:w="914"/>
        <w:gridCol w:w="914"/>
        <w:gridCol w:w="914"/>
        <w:gridCol w:w="914"/>
        <w:gridCol w:w="914"/>
        <w:gridCol w:w="914"/>
        <w:gridCol w:w="914"/>
        <w:gridCol w:w="724"/>
      </w:tblGrid>
      <w:tr>
        <w:tblPrEx>
          <w:tblCellMar>
            <w:top w:w="0" w:type="dxa"/>
            <w:left w:w="108" w:type="dxa"/>
            <w:bottom w:w="0" w:type="dxa"/>
            <w:right w:w="108" w:type="dxa"/>
          </w:tblCellMar>
        </w:tblPrEx>
        <w:trPr>
          <w:trHeight w:val="392" w:hRule="atLeast"/>
          <w:jc w:val="center"/>
        </w:trPr>
        <w:tc>
          <w:tcPr>
            <w:tcW w:w="1121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21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216"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746.80</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28.99</w:t>
            </w:r>
          </w:p>
        </w:tc>
        <w:tc>
          <w:tcPr>
            <w:tcW w:w="9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717.81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湟源县卫生健康局</w:t>
            </w:r>
          </w:p>
        </w:tc>
        <w:tc>
          <w:tcPr>
            <w:tcW w:w="10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746.80</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28.99</w:t>
            </w:r>
          </w:p>
        </w:tc>
        <w:tc>
          <w:tcPr>
            <w:tcW w:w="9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717.81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湟源县疾病预防控制中心</w:t>
            </w:r>
          </w:p>
        </w:tc>
        <w:tc>
          <w:tcPr>
            <w:tcW w:w="10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746.80</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28.99</w:t>
            </w:r>
          </w:p>
        </w:tc>
        <w:tc>
          <w:tcPr>
            <w:tcW w:w="9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717.81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375" w:type="dxa"/>
        <w:jc w:val="center"/>
        <w:tblLayout w:type="fixed"/>
        <w:tblCellMar>
          <w:top w:w="0" w:type="dxa"/>
          <w:left w:w="108" w:type="dxa"/>
          <w:bottom w:w="0" w:type="dxa"/>
          <w:right w:w="108" w:type="dxa"/>
        </w:tblCellMar>
      </w:tblPr>
      <w:tblGrid>
        <w:gridCol w:w="1100"/>
        <w:gridCol w:w="3748"/>
        <w:gridCol w:w="1087"/>
        <w:gridCol w:w="1087"/>
        <w:gridCol w:w="1087"/>
        <w:gridCol w:w="1087"/>
        <w:gridCol w:w="1087"/>
        <w:gridCol w:w="1092"/>
      </w:tblGrid>
      <w:tr>
        <w:tblPrEx>
          <w:tblCellMar>
            <w:top w:w="0" w:type="dxa"/>
            <w:left w:w="108" w:type="dxa"/>
            <w:bottom w:w="0" w:type="dxa"/>
            <w:right w:w="108" w:type="dxa"/>
          </w:tblCellMar>
        </w:tblPrEx>
        <w:trPr>
          <w:trHeight w:val="187" w:hRule="atLeast"/>
          <w:jc w:val="center"/>
        </w:trPr>
        <w:tc>
          <w:tcPr>
            <w:tcW w:w="1137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7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7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4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746.80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585.30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161.50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107.72</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107.72</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105.33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105.33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42.69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42.69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41.29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41.29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597.12</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435.62</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161.50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公共卫生</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535.32</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373.83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161.50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疾病预防控制机构</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373.83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373.83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2100409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重大公共卫生服务</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161.50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161.50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61.80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61.80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40.53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40.53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41.95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41.95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41.95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41.95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41.95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41.95</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1084"/>
        <w:gridCol w:w="2348"/>
        <w:gridCol w:w="1260"/>
        <w:gridCol w:w="93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4"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44"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4"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34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6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93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3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717.81</w:t>
            </w: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746.80</w:t>
            </w: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746.80</w:t>
            </w: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717.81</w:t>
            </w: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107.72</w:t>
            </w: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107.72</w:t>
            </w: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597.12</w:t>
            </w: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597.12</w:t>
            </w: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41.95</w:t>
            </w: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41.95</w:t>
            </w: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28.99</w:t>
            </w: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28.99</w:t>
            </w:r>
          </w:p>
        </w:tc>
        <w:tc>
          <w:tcPr>
            <w:tcW w:w="2348" w:type="dxa"/>
            <w:shd w:val="clear" w:color="auto" w:fill="FFFFFF"/>
            <w:noWrap/>
            <w:vAlign w:val="center"/>
          </w:tcPr>
          <w:p>
            <w:pPr>
              <w:widowControl/>
              <w:jc w:val="left"/>
              <w:rPr>
                <w:rFonts w:ascii="宋体" w:hAnsi="宋体" w:cs="宋体"/>
                <w:kern w:val="0"/>
                <w:sz w:val="20"/>
              </w:rPr>
            </w:pP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2348" w:type="dxa"/>
            <w:shd w:val="clear" w:color="auto" w:fill="FFFFFF"/>
            <w:noWrap/>
            <w:vAlign w:val="center"/>
          </w:tcPr>
          <w:p>
            <w:pPr>
              <w:widowControl/>
              <w:jc w:val="left"/>
              <w:rPr>
                <w:rFonts w:ascii="宋体" w:hAnsi="宋体" w:cs="宋体"/>
                <w:kern w:val="0"/>
                <w:sz w:val="20"/>
              </w:rPr>
            </w:pP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9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746.80</w:t>
            </w:r>
          </w:p>
        </w:tc>
        <w:tc>
          <w:tcPr>
            <w:tcW w:w="23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6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746.80</w:t>
            </w:r>
          </w:p>
        </w:tc>
        <w:tc>
          <w:tcPr>
            <w:tcW w:w="93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746.80</w:t>
            </w:r>
          </w:p>
        </w:tc>
        <w:tc>
          <w:tcPr>
            <w:tcW w:w="1132"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76"/>
        <w:gridCol w:w="1428"/>
        <w:gridCol w:w="1428"/>
        <w:gridCol w:w="1428"/>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2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8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2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2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2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2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717.81</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585.30</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132.51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107.72</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107.72</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105.33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105.33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42.69</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42.69</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21.35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41.29</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41.29</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2.40</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2.40</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2.40</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2.40</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568.13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435.62</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132.51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公共卫生</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506.34</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373.83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132.51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疾病预防控制机构</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373.83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373.83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重大公共卫生服务</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132.51</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132.51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61.80</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61.80</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40.53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40.53</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21.27</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21.27</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41.95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41.95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41.95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41.95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41.95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41.95</w:t>
            </w:r>
          </w:p>
        </w:tc>
        <w:tc>
          <w:tcPr>
            <w:tcW w:w="14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3003"/>
        <w:gridCol w:w="2350"/>
        <w:gridCol w:w="2350"/>
        <w:gridCol w:w="224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0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94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0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0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585.30</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571.33</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13.97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506.82</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506.82</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100.57</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100.57</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114.77</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114.77</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144.52</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144.52</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42.69</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42.69</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21.35</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21.35</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17.31</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17.31</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21.27</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21.27</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41.95</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41.95</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13.97</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13.97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0.69</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2.30</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0.92</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5.33</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5.33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64.51</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64.51</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38.76</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38.76</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23.23</w:t>
            </w:r>
          </w:p>
        </w:tc>
        <w:tc>
          <w:tcPr>
            <w:tcW w:w="23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23.23</w:t>
            </w:r>
          </w:p>
        </w:tc>
        <w:tc>
          <w:tcPr>
            <w:tcW w:w="22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65"/>
        <w:gridCol w:w="965"/>
        <w:gridCol w:w="965"/>
        <w:gridCol w:w="965"/>
        <w:gridCol w:w="965"/>
        <w:gridCol w:w="965"/>
        <w:gridCol w:w="965"/>
        <w:gridCol w:w="965"/>
        <w:gridCol w:w="965"/>
        <w:gridCol w:w="96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7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G6"/>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7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7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576"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01"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1"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876"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51"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876"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51"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0.48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1.26</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0.80</w:t>
            </w:r>
          </w:p>
        </w:tc>
        <w:tc>
          <w:tcPr>
            <w:tcW w:w="876"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0.46</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湟源县疾病预防控制中心2023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湟源县疾病预防控制中心</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一般公共预算拨款收入717.81万元，上年结转28.99万元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社会保障和就业支出107.72万元，卫生健康支出597.12万元，住房保障支出41.95万元</w:t>
      </w:r>
      <w:r>
        <w:rPr>
          <w:rFonts w:hint="eastAsia" w:ascii="仿宋_GB2312" w:eastAsia="仿宋_GB2312"/>
          <w:sz w:val="32"/>
          <w:szCs w:val="32"/>
        </w:rPr>
        <w:t>。</w:t>
      </w: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年收支总预算</w:t>
      </w:r>
      <w:r>
        <w:rPr>
          <w:rFonts w:hint="eastAsia" w:ascii="仿宋_GB2312" w:eastAsia="仿宋_GB2312"/>
          <w:sz w:val="32"/>
          <w:szCs w:val="32"/>
          <w:lang w:val="en-US" w:eastAsia="zh-CN"/>
        </w:rPr>
        <w:t>746.80</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湟源县疾病预防控制中心2023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年收入预算</w:t>
      </w:r>
      <w:r>
        <w:rPr>
          <w:rFonts w:hint="eastAsia" w:ascii="仿宋_GB2312" w:eastAsia="仿宋_GB2312"/>
          <w:sz w:val="32"/>
          <w:szCs w:val="32"/>
          <w:lang w:val="en-US" w:eastAsia="zh-CN"/>
        </w:rPr>
        <w:t>746.80</w:t>
      </w:r>
      <w:r>
        <w:rPr>
          <w:rFonts w:hint="eastAsia" w:ascii="仿宋_GB2312" w:eastAsia="仿宋_GB2312"/>
          <w:sz w:val="32"/>
          <w:szCs w:val="32"/>
        </w:rPr>
        <w:t>万元，其中：</w:t>
      </w:r>
      <w:r>
        <w:rPr>
          <w:rFonts w:hint="eastAsia" w:ascii="仿宋_GB2312" w:eastAsia="仿宋_GB2312"/>
          <w:sz w:val="32"/>
          <w:szCs w:val="32"/>
          <w:lang w:val="en-US" w:eastAsia="zh-CN"/>
        </w:rPr>
        <w:t>上年结转28.99万元，占3.88%；一般公共预算拨款收入717.81万元，占96.12%</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8.35pt;width:365.9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湟源县疾病预防控制中心2023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年支出预算</w:t>
      </w:r>
      <w:r>
        <w:rPr>
          <w:rFonts w:hint="eastAsia" w:ascii="仿宋_GB2312" w:eastAsia="仿宋_GB2312"/>
          <w:sz w:val="32"/>
          <w:szCs w:val="32"/>
          <w:lang w:val="en-US" w:eastAsia="zh-CN"/>
        </w:rPr>
        <w:t>746.80</w:t>
      </w:r>
      <w:r>
        <w:rPr>
          <w:rFonts w:hint="eastAsia" w:ascii="仿宋_GB2312" w:eastAsia="仿宋_GB2312"/>
          <w:sz w:val="32"/>
          <w:szCs w:val="32"/>
        </w:rPr>
        <w:t>万元，其中：</w:t>
      </w:r>
      <w:r>
        <w:rPr>
          <w:rFonts w:hint="eastAsia" w:ascii="仿宋_GB2312" w:eastAsia="仿宋_GB2312"/>
          <w:sz w:val="32"/>
          <w:szCs w:val="32"/>
          <w:lang w:val="en-US" w:eastAsia="zh-CN"/>
        </w:rPr>
        <w:t>基本支出585.30万元，占78.37%；项目支出161.50万元，占21.63%</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9.3pt;width:368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湟源县疾病预防控制中心2023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746.80</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增加165.96</w:t>
      </w:r>
      <w:r>
        <w:rPr>
          <w:rFonts w:hint="eastAsia" w:ascii="仿宋_GB2312" w:eastAsia="仿宋_GB2312"/>
          <w:sz w:val="32"/>
          <w:szCs w:val="32"/>
        </w:rPr>
        <w:t>万元，主要是</w:t>
      </w:r>
      <w:r>
        <w:rPr>
          <w:rFonts w:hint="eastAsia" w:ascii="仿宋_GB2312" w:eastAsia="仿宋_GB2312"/>
          <w:sz w:val="32"/>
          <w:szCs w:val="32"/>
          <w:lang w:eastAsia="zh-CN"/>
        </w:rPr>
        <w:t>人员工资调级</w:t>
      </w:r>
      <w:r>
        <w:rPr>
          <w:rFonts w:hint="eastAsia" w:ascii="仿宋_GB2312" w:eastAsia="仿宋_GB2312"/>
          <w:sz w:val="32"/>
          <w:szCs w:val="32"/>
          <w:highlight w:val="none"/>
        </w:rPr>
        <w:t>。</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一般公共预算拨款收入717.81万元，上年结转28.99万元；政府性基金预算拨款收入0.00万元，上年结转0.00万元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社会保障和就业支出107.72万元， 卫生健康支出597.12万元， 住房保障支出41.95万元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9.5pt;width:368.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湟源县疾病预防控制中心2023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lang w:eastAsia="zh-CN"/>
        </w:rPr>
      </w:pP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717.81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增加185.80</w:t>
      </w:r>
      <w:r>
        <w:rPr>
          <w:rFonts w:hint="eastAsia" w:ascii="仿宋_GB2312" w:eastAsia="仿宋_GB2312"/>
          <w:sz w:val="32"/>
          <w:szCs w:val="32"/>
        </w:rPr>
        <w:t>万元，主要是</w:t>
      </w:r>
      <w:r>
        <w:rPr>
          <w:rFonts w:hint="eastAsia" w:ascii="仿宋_GB2312" w:eastAsia="仿宋_GB2312"/>
          <w:sz w:val="32"/>
          <w:szCs w:val="32"/>
          <w:lang w:eastAsia="zh-CN"/>
        </w:rPr>
        <w:t>人员工资上涨及调级。</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5.05pt;width:365.5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社会保障和就业支出107.72万元，占15.01%；卫生健康支出568.13万元，占79.15%；住房保障支出41.95万元，占5.84%</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7.45pt;width:364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i/>
          <w:sz w:val="32"/>
          <w:szCs w:val="32"/>
          <w:highlight w:val="none"/>
          <w:u w:val="single"/>
          <w:lang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42.69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增加8.74</w:t>
      </w:r>
      <w:r>
        <w:rPr>
          <w:rFonts w:hint="eastAsia" w:ascii="仿宋_GB2312" w:eastAsia="仿宋_GB2312"/>
          <w:sz w:val="32"/>
          <w:szCs w:val="32"/>
        </w:rPr>
        <w:t>万元，</w:t>
      </w:r>
      <w:r>
        <w:rPr>
          <w:rFonts w:hint="eastAsia" w:ascii="仿宋_GB2312" w:eastAsia="仿宋_GB2312"/>
          <w:sz w:val="32"/>
          <w:szCs w:val="32"/>
          <w:lang w:val="en-US" w:eastAsia="zh-CN"/>
        </w:rPr>
        <w:t>增长25.74</w:t>
      </w:r>
      <w:r>
        <w:rPr>
          <w:rFonts w:hint="eastAsia" w:ascii="仿宋_GB2312" w:eastAsia="仿宋_GB2312"/>
          <w:sz w:val="32"/>
          <w:szCs w:val="32"/>
        </w:rPr>
        <w:t>%。主要是</w:t>
      </w:r>
      <w:r>
        <w:rPr>
          <w:rFonts w:hint="eastAsia" w:ascii="仿宋_GB2312" w:eastAsia="仿宋_GB2312"/>
          <w:sz w:val="32"/>
          <w:szCs w:val="32"/>
          <w:lang w:val="en-US" w:eastAsia="zh-CN"/>
        </w:rPr>
        <w:t>职工基数调整。</w:t>
      </w:r>
    </w:p>
    <w:p>
      <w:pPr>
        <w:ind w:firstLine="645"/>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21.35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增加4.38</w:t>
      </w:r>
      <w:r>
        <w:rPr>
          <w:rFonts w:hint="eastAsia" w:ascii="仿宋_GB2312" w:eastAsia="仿宋_GB2312"/>
          <w:sz w:val="32"/>
          <w:szCs w:val="32"/>
        </w:rPr>
        <w:t>万元，</w:t>
      </w:r>
      <w:r>
        <w:rPr>
          <w:rFonts w:hint="eastAsia" w:ascii="仿宋_GB2312" w:eastAsia="仿宋_GB2312"/>
          <w:sz w:val="32"/>
          <w:szCs w:val="32"/>
          <w:lang w:val="en-US" w:eastAsia="zh-CN"/>
        </w:rPr>
        <w:t>增长25.81</w:t>
      </w:r>
      <w:r>
        <w:rPr>
          <w:rFonts w:hint="eastAsia" w:ascii="仿宋_GB2312" w:eastAsia="仿宋_GB2312"/>
          <w:sz w:val="32"/>
          <w:szCs w:val="32"/>
        </w:rPr>
        <w:t>%。主要是</w:t>
      </w:r>
      <w:r>
        <w:rPr>
          <w:rFonts w:hint="eastAsia" w:ascii="仿宋_GB2312" w:eastAsia="仿宋_GB2312"/>
          <w:sz w:val="32"/>
          <w:szCs w:val="32"/>
          <w:lang w:eastAsia="zh-CN"/>
        </w:rPr>
        <w:t>职工基数调整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41.29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增加4.19</w:t>
      </w:r>
      <w:r>
        <w:rPr>
          <w:rFonts w:hint="eastAsia" w:ascii="仿宋_GB2312" w:eastAsia="仿宋_GB2312"/>
          <w:sz w:val="32"/>
          <w:szCs w:val="32"/>
        </w:rPr>
        <w:t>万元，</w:t>
      </w:r>
      <w:r>
        <w:rPr>
          <w:rFonts w:hint="eastAsia" w:ascii="仿宋_GB2312" w:eastAsia="仿宋_GB2312"/>
          <w:sz w:val="32"/>
          <w:szCs w:val="32"/>
          <w:lang w:val="en-US" w:eastAsia="zh-CN"/>
        </w:rPr>
        <w:t>增长11.29</w:t>
      </w:r>
      <w:r>
        <w:rPr>
          <w:rFonts w:hint="eastAsia" w:ascii="仿宋_GB2312" w:eastAsia="仿宋_GB2312"/>
          <w:sz w:val="32"/>
          <w:szCs w:val="32"/>
        </w:rPr>
        <w:t>%。主要是</w:t>
      </w:r>
      <w:r>
        <w:rPr>
          <w:rFonts w:hint="eastAsia" w:ascii="仿宋_GB2312" w:eastAsia="仿宋_GB2312"/>
          <w:sz w:val="32"/>
          <w:szCs w:val="32"/>
          <w:lang w:eastAsia="zh-CN"/>
        </w:rPr>
        <w:t>退休人员增加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减少0.10</w:t>
      </w:r>
      <w:r>
        <w:rPr>
          <w:rFonts w:hint="eastAsia" w:ascii="仿宋_GB2312" w:eastAsia="仿宋_GB2312"/>
          <w:sz w:val="32"/>
          <w:szCs w:val="32"/>
        </w:rPr>
        <w:t>万元，</w:t>
      </w:r>
      <w:r>
        <w:rPr>
          <w:rFonts w:hint="eastAsia" w:ascii="仿宋_GB2312" w:eastAsia="仿宋_GB2312"/>
          <w:sz w:val="32"/>
          <w:szCs w:val="32"/>
          <w:lang w:val="en-US" w:eastAsia="zh-CN"/>
        </w:rPr>
        <w:t>下降4.00</w:t>
      </w:r>
      <w:r>
        <w:rPr>
          <w:rFonts w:hint="eastAsia" w:ascii="仿宋_GB2312" w:eastAsia="仿宋_GB2312"/>
          <w:sz w:val="32"/>
          <w:szCs w:val="32"/>
        </w:rPr>
        <w:t>%。主要是</w:t>
      </w:r>
      <w:r>
        <w:rPr>
          <w:rFonts w:hint="eastAsia" w:ascii="仿宋_GB2312" w:eastAsia="仿宋_GB2312"/>
          <w:sz w:val="32"/>
          <w:szCs w:val="32"/>
          <w:lang w:eastAsia="zh-CN"/>
        </w:rPr>
        <w:t>基数调整，比例调整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疾病预防控制机构</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373.83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增加17.20</w:t>
      </w:r>
      <w:r>
        <w:rPr>
          <w:rFonts w:hint="eastAsia" w:ascii="仿宋_GB2312" w:eastAsia="仿宋_GB2312"/>
          <w:sz w:val="32"/>
          <w:szCs w:val="32"/>
        </w:rPr>
        <w:t>万元，</w:t>
      </w:r>
      <w:r>
        <w:rPr>
          <w:rFonts w:hint="eastAsia" w:ascii="仿宋_GB2312" w:eastAsia="仿宋_GB2312"/>
          <w:sz w:val="32"/>
          <w:szCs w:val="32"/>
          <w:lang w:val="en-US" w:eastAsia="zh-CN"/>
        </w:rPr>
        <w:t>增长4.82</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eastAsia="zh-CN"/>
        </w:rPr>
        <w:t>人员工资及各项办公经费支出</w:t>
      </w:r>
      <w:r>
        <w:rPr>
          <w:rFonts w:hint="eastAsia" w:ascii="仿宋_GB2312" w:eastAsia="仿宋_GB2312"/>
          <w:sz w:val="32"/>
          <w:szCs w:val="32"/>
          <w:lang w:val="en-US" w:eastAsia="zh-CN"/>
        </w:rPr>
        <w:t>。</w:t>
      </w:r>
    </w:p>
    <w:p>
      <w:pPr>
        <w:ind w:firstLine="645"/>
        <w:rPr>
          <w:rFonts w:hint="default"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重大公共卫生服务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132.51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增加132.51</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主要原因是本年新增项目经费，上年无此项支出。</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40.53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增加11.11</w:t>
      </w:r>
      <w:r>
        <w:rPr>
          <w:rFonts w:hint="eastAsia" w:ascii="仿宋_GB2312" w:eastAsia="仿宋_GB2312"/>
          <w:sz w:val="32"/>
          <w:szCs w:val="32"/>
        </w:rPr>
        <w:t>万元，</w:t>
      </w:r>
      <w:r>
        <w:rPr>
          <w:rFonts w:hint="eastAsia" w:ascii="仿宋_GB2312" w:eastAsia="仿宋_GB2312"/>
          <w:sz w:val="32"/>
          <w:szCs w:val="32"/>
          <w:lang w:val="en-US" w:eastAsia="zh-CN"/>
        </w:rPr>
        <w:t>增长37.76</w:t>
      </w:r>
      <w:r>
        <w:rPr>
          <w:rFonts w:hint="eastAsia" w:ascii="仿宋_GB2312" w:eastAsia="仿宋_GB2312"/>
          <w:sz w:val="32"/>
          <w:szCs w:val="32"/>
        </w:rPr>
        <w:t>%。主要是</w:t>
      </w:r>
      <w:r>
        <w:rPr>
          <w:rFonts w:hint="eastAsia" w:ascii="仿宋_GB2312" w:eastAsia="仿宋_GB2312"/>
          <w:sz w:val="32"/>
          <w:szCs w:val="32"/>
          <w:lang w:eastAsia="zh-CN"/>
        </w:rPr>
        <w:t>职工工资基数调整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21.27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减少0.88</w:t>
      </w:r>
      <w:r>
        <w:rPr>
          <w:rFonts w:hint="eastAsia" w:ascii="仿宋_GB2312" w:eastAsia="仿宋_GB2312"/>
          <w:sz w:val="32"/>
          <w:szCs w:val="32"/>
        </w:rPr>
        <w:t>万元，</w:t>
      </w:r>
      <w:r>
        <w:rPr>
          <w:rFonts w:hint="eastAsia" w:ascii="仿宋_GB2312" w:eastAsia="仿宋_GB2312"/>
          <w:sz w:val="32"/>
          <w:szCs w:val="32"/>
          <w:lang w:val="en-US" w:eastAsia="zh-CN"/>
        </w:rPr>
        <w:t>下降3.97</w:t>
      </w:r>
      <w:r>
        <w:rPr>
          <w:rFonts w:hint="eastAsia" w:ascii="仿宋_GB2312" w:eastAsia="仿宋_GB2312"/>
          <w:sz w:val="32"/>
          <w:szCs w:val="32"/>
        </w:rPr>
        <w:t>%。主要是</w:t>
      </w:r>
      <w:r>
        <w:rPr>
          <w:rFonts w:hint="eastAsia" w:ascii="仿宋_GB2312" w:eastAsia="仿宋_GB2312"/>
          <w:sz w:val="32"/>
          <w:szCs w:val="32"/>
          <w:lang w:eastAsia="zh-CN"/>
        </w:rPr>
        <w:t>退休人员增加基数比例调整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41.95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增加8.66</w:t>
      </w:r>
      <w:r>
        <w:rPr>
          <w:rFonts w:hint="eastAsia" w:ascii="仿宋_GB2312" w:eastAsia="仿宋_GB2312"/>
          <w:sz w:val="32"/>
          <w:szCs w:val="32"/>
        </w:rPr>
        <w:t>万元，</w:t>
      </w:r>
      <w:r>
        <w:rPr>
          <w:rFonts w:hint="eastAsia" w:ascii="仿宋_GB2312" w:eastAsia="仿宋_GB2312"/>
          <w:sz w:val="32"/>
          <w:szCs w:val="32"/>
          <w:lang w:val="en-US" w:eastAsia="zh-CN"/>
        </w:rPr>
        <w:t>增长26.01</w:t>
      </w:r>
      <w:r>
        <w:rPr>
          <w:rFonts w:hint="eastAsia" w:ascii="仿宋_GB2312" w:eastAsia="仿宋_GB2312"/>
          <w:sz w:val="32"/>
          <w:szCs w:val="32"/>
        </w:rPr>
        <w:t>%。主要是</w:t>
      </w:r>
      <w:r>
        <w:rPr>
          <w:rFonts w:hint="eastAsia" w:ascii="仿宋_GB2312" w:eastAsia="仿宋_GB2312"/>
          <w:sz w:val="32"/>
          <w:szCs w:val="32"/>
          <w:lang w:eastAsia="zh-CN"/>
        </w:rPr>
        <w:t>住房公积金</w:t>
      </w:r>
      <w:r>
        <w:rPr>
          <w:rFonts w:hint="eastAsia" w:ascii="仿宋_GB2312" w:eastAsia="仿宋_GB2312"/>
          <w:sz w:val="32"/>
          <w:szCs w:val="32"/>
          <w:lang w:val="en-US" w:eastAsia="zh-CN"/>
        </w:rPr>
        <w:t>工资比例调整。</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湟源县疾病预防控制中心2023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585.30</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571.33</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100.57万元、津贴补贴114.77万元、绩效工资144.52万元、机关事业单位基本养老保险缴费42.69万元、职业年金缴费21.35万元、职工基本医疗保险缴费17.31万元、公务员医疗补助缴费21.27万元、其他社会保障缴费2.40万元、住房公积金41.95万元、退休费38.76万元、生活补助2.53万元、医疗费补助23.23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13.97</w:t>
      </w:r>
      <w:r>
        <w:rPr>
          <w:rFonts w:hint="eastAsia" w:ascii="仿宋_GB2312" w:eastAsia="仿宋_GB2312"/>
          <w:sz w:val="32"/>
          <w:szCs w:val="32"/>
        </w:rPr>
        <w:t>万元，主要包括：</w:t>
      </w:r>
      <w:r>
        <w:rPr>
          <w:rFonts w:hint="eastAsia" w:ascii="仿宋_GB2312" w:eastAsia="仿宋_GB2312"/>
          <w:sz w:val="32"/>
          <w:szCs w:val="32"/>
          <w:lang w:val="en-US" w:eastAsia="zh-CN"/>
        </w:rPr>
        <w:t>办公费0.69万元、水费0.46万元、电费0.46万元、邮电费1.15万元、取暖费2.30万元、差旅费0.92万元、公务接待费0.46万元、工会经费5.33万元、公务用车运行维护费0.80万元、其他商品和服务支出1.40万元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湟源县疾病预防控制中心2023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1.26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减少0.02</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0.80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0.46</w:t>
      </w:r>
      <w:r>
        <w:rPr>
          <w:rFonts w:hint="eastAsia" w:ascii="仿宋_GB2312" w:eastAsia="仿宋_GB2312"/>
          <w:sz w:val="32"/>
          <w:szCs w:val="32"/>
        </w:rPr>
        <w:t>万元，</w:t>
      </w:r>
      <w:r>
        <w:rPr>
          <w:rFonts w:hint="eastAsia" w:ascii="仿宋_GB2312" w:eastAsia="仿宋_GB2312"/>
          <w:sz w:val="32"/>
          <w:szCs w:val="32"/>
          <w:lang w:val="en-US" w:eastAsia="zh-CN"/>
        </w:rPr>
        <w:t>减少0.02</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eastAsia="zh-CN"/>
        </w:rPr>
        <w:t>公务接待费用减少，预算数减少。</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湟源县疾病预防控制中心2023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湟源县疾病预防控制中心2023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ind w:firstLine="616" w:firstLineChars="200"/>
        <w:rPr>
          <w:rFonts w:hint="eastAsia" w:ascii="仿宋_GB2312" w:hAnsi="仿宋" w:eastAsia="仿宋_GB2312"/>
          <w:spacing w:val="-6"/>
          <w:kern w:val="2"/>
          <w:sz w:val="32"/>
          <w:szCs w:val="32"/>
          <w:highlight w:val="none"/>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湟源县疾病预防控制中心</w:t>
      </w:r>
      <w:r>
        <w:rPr>
          <w:rFonts w:hint="eastAsia" w:ascii="仿宋_GB2312" w:hAnsi="仿宋" w:eastAsia="仿宋_GB2312"/>
          <w:spacing w:val="-6"/>
          <w:kern w:val="2"/>
          <w:sz w:val="32"/>
          <w:szCs w:val="32"/>
          <w:lang w:val="en-US"/>
        </w:rPr>
        <w:t>机关运行经费财政拨款预算13.97万元，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预算减少0.58万元，下降3.99%。主要是</w:t>
      </w:r>
      <w:r>
        <w:rPr>
          <w:rFonts w:hint="eastAsia" w:ascii="仿宋_GB2312" w:eastAsia="仿宋_GB2312"/>
          <w:sz w:val="32"/>
          <w:szCs w:val="32"/>
          <w:highlight w:val="none"/>
          <w:lang w:eastAsia="zh-CN"/>
        </w:rPr>
        <w:t>公务接待费用减少，预算数减少。</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eastAsia="zh-CN"/>
        </w:rPr>
      </w:pPr>
      <w:r>
        <w:rPr>
          <w:rFonts w:hint="eastAsia" w:ascii="仿宋_GB2312" w:hAnsi="仿宋" w:eastAsia="仿宋_GB2312"/>
          <w:spacing w:val="-6"/>
          <w:kern w:val="2"/>
          <w:sz w:val="32"/>
          <w:szCs w:val="32"/>
          <w:highlight w:val="none"/>
          <w:lang w:val="en-US" w:eastAsia="zh-CN"/>
        </w:rPr>
        <w:t>2023</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highlight w:val="none"/>
          <w:lang w:val="en-US" w:eastAsia="zh-CN"/>
        </w:rPr>
        <w:t>湟源县疾病预防控制中心无</w:t>
      </w:r>
      <w:r>
        <w:rPr>
          <w:rFonts w:hint="eastAsia" w:ascii="仿宋_GB2312" w:hAnsi="仿宋" w:eastAsia="仿宋_GB2312"/>
          <w:spacing w:val="-6"/>
          <w:kern w:val="2"/>
          <w:sz w:val="32"/>
          <w:szCs w:val="32"/>
          <w:highlight w:val="none"/>
          <w:lang w:val="en-US"/>
        </w:rPr>
        <w:t>政府采购预算</w:t>
      </w:r>
      <w:r>
        <w:rPr>
          <w:rFonts w:hint="eastAsia" w:ascii="仿宋_GB2312" w:hAnsi="仿宋" w:eastAsia="仿宋_GB2312"/>
          <w:spacing w:val="-6"/>
          <w:kern w:val="2"/>
          <w:sz w:val="32"/>
          <w:szCs w:val="32"/>
          <w:highlight w:val="none"/>
          <w:lang w:val="en-US" w:eastAsia="zh-CN"/>
        </w:rPr>
        <w:t>。</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湟源县疾病预防控制中心所属各预算单位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4</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辆、厅级</w:t>
      </w:r>
      <w:bookmarkStart w:id="6" w:name="_GoBack"/>
      <w:bookmarkEnd w:id="6"/>
      <w:r>
        <w:rPr>
          <w:rFonts w:hint="eastAsia" w:ascii="仿宋_GB2312" w:hAnsi="仿宋" w:eastAsia="仿宋_GB2312"/>
          <w:spacing w:val="-6"/>
          <w:kern w:val="2"/>
          <w:sz w:val="32"/>
          <w:szCs w:val="32"/>
          <w:lang w:val="en-US"/>
        </w:rPr>
        <w:t>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highlight w:val="none"/>
          <w:lang w:val="en-US" w:eastAsia="zh-CN"/>
        </w:rPr>
        <w:t>1</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highlight w:val="none"/>
          <w:lang w:val="en-US" w:eastAsia="zh-CN"/>
        </w:rPr>
        <w:t>3</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湟源县疾病预防控制中心</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132.51</w:t>
      </w:r>
      <w:r>
        <w:rPr>
          <w:rFonts w:hint="eastAsia" w:ascii="仿宋_GB2312" w:hAnsi="仿宋" w:eastAsia="仿宋_GB2312"/>
          <w:spacing w:val="-6"/>
          <w:kern w:val="2"/>
          <w:sz w:val="32"/>
          <w:szCs w:val="32"/>
          <w:lang w:val="en-US"/>
        </w:rPr>
        <w:t>万元。</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6"/>
        <w:tblW w:w="9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7"/>
        <w:gridCol w:w="1111"/>
        <w:gridCol w:w="1446"/>
        <w:gridCol w:w="874"/>
        <w:gridCol w:w="810"/>
        <w:gridCol w:w="1315"/>
        <w:gridCol w:w="900"/>
        <w:gridCol w:w="978"/>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75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924"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74"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5"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2"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9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3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重大传染病防控经费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132.51</w:t>
            </w:r>
          </w:p>
        </w:tc>
        <w:tc>
          <w:tcPr>
            <w:tcW w:w="1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减少艾滋病发病感染，推广癌症，心脑血管疾病，做好重点传染病及健康危害因素监测工作</w:t>
            </w:r>
          </w:p>
        </w:tc>
        <w:tc>
          <w:tcPr>
            <w:tcW w:w="8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艾滋病免费抗病毒指标，规范慢病随访检查，包虫病人群主动筛查</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艾滋病高危人群干预，在册精神病患者管理率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中小学生包虫病防治知识知晓率达90%以上</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群众对包虫病防治满意度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bl>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公共卫生</w:t>
      </w:r>
      <w:r>
        <w:rPr>
          <w:rFonts w:hint="eastAsia" w:ascii="仿宋_GB2312" w:eastAsia="仿宋_GB2312"/>
          <w:b/>
          <w:bCs/>
          <w:sz w:val="32"/>
          <w:szCs w:val="32"/>
        </w:rPr>
        <w:t>（款）</w:t>
      </w:r>
      <w:r>
        <w:rPr>
          <w:rFonts w:hint="eastAsia" w:ascii="仿宋_GB2312" w:eastAsia="仿宋_GB2312"/>
          <w:b/>
          <w:bCs/>
          <w:sz w:val="32"/>
          <w:szCs w:val="32"/>
          <w:lang w:val="en-US" w:eastAsia="zh-CN"/>
        </w:rPr>
        <w:t>疾病预防控制机构</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反映卫生健康部门所属疾病预防控制机构的支出。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公共卫生</w:t>
      </w:r>
      <w:r>
        <w:rPr>
          <w:rFonts w:hint="eastAsia" w:ascii="仿宋_GB2312" w:eastAsia="仿宋_GB2312"/>
          <w:b/>
          <w:bCs/>
          <w:sz w:val="32"/>
          <w:szCs w:val="32"/>
        </w:rPr>
        <w:t>（款）</w:t>
      </w:r>
      <w:r>
        <w:rPr>
          <w:rFonts w:hint="eastAsia" w:ascii="仿宋_GB2312" w:eastAsia="仿宋_GB2312"/>
          <w:b/>
          <w:bCs/>
          <w:sz w:val="32"/>
          <w:szCs w:val="32"/>
          <w:lang w:val="en-US" w:eastAsia="zh-CN"/>
        </w:rPr>
        <w:t>重大公共卫生服务</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反映重大疾病、重大传染病预防控制等重大公共卫生服务项目支出。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（七）卫生健康支出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（九）住房保障支出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784101"/>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3264A"/>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AD3466"/>
    <w:rsid w:val="0EB9334C"/>
    <w:rsid w:val="0EE02A09"/>
    <w:rsid w:val="0EF30338"/>
    <w:rsid w:val="0EF820C6"/>
    <w:rsid w:val="0F0C3167"/>
    <w:rsid w:val="0F1B23BF"/>
    <w:rsid w:val="0F4E7F7D"/>
    <w:rsid w:val="0F5D63CD"/>
    <w:rsid w:val="0F9D0EBF"/>
    <w:rsid w:val="0FBC2FF0"/>
    <w:rsid w:val="0FDF10D4"/>
    <w:rsid w:val="0FEB5787"/>
    <w:rsid w:val="105E1239"/>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5A7254"/>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091B10"/>
    <w:rsid w:val="1A165AF6"/>
    <w:rsid w:val="1A252993"/>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324930"/>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8C0BD7"/>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7665B1"/>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BC1DC9"/>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0948D8"/>
    <w:rsid w:val="3A1C0AAF"/>
    <w:rsid w:val="3A5C534F"/>
    <w:rsid w:val="3A667F7C"/>
    <w:rsid w:val="3AC151B3"/>
    <w:rsid w:val="3AE57819"/>
    <w:rsid w:val="3AF85078"/>
    <w:rsid w:val="3B253993"/>
    <w:rsid w:val="3B2E2848"/>
    <w:rsid w:val="3B2F4FC9"/>
    <w:rsid w:val="3B626996"/>
    <w:rsid w:val="3B653D90"/>
    <w:rsid w:val="3B82712E"/>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180A7B"/>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A87F9D"/>
    <w:rsid w:val="5BB64468"/>
    <w:rsid w:val="5BCD22B6"/>
    <w:rsid w:val="5BD41FC1"/>
    <w:rsid w:val="5BF907F8"/>
    <w:rsid w:val="5C237623"/>
    <w:rsid w:val="5CAC7619"/>
    <w:rsid w:val="5CB169DD"/>
    <w:rsid w:val="5CCA5FA6"/>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46604D"/>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86D1D"/>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7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6134</Words>
  <Characters>7510</Characters>
  <Lines>43</Lines>
  <Paragraphs>12</Paragraphs>
  <TotalTime>1</TotalTime>
  <ScaleCrop>false</ScaleCrop>
  <LinksUpToDate>false</LinksUpToDate>
  <CharactersWithSpaces>7611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2023-06-08T03:39:49Z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3DDD597155A44EBB90221629AD9AA472_13</vt:lpwstr>
  </property>
</Properties>
</file>