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tcPr>
          <w:p>
            <w:pPr>
              <w:pStyle w:val="12"/>
              <w:rPr>
                <w:rFonts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vAlign w:val="center"/>
          </w:tcPr>
          <w:p>
            <w:pPr>
              <w:pStyle w:val="12"/>
              <w:jc w:val="center"/>
              <w:rPr>
                <w:rFonts w:ascii="Cambria" w:hAnsi="Cambria"/>
                <w:b/>
                <w:sz w:val="80"/>
                <w:szCs w:val="80"/>
              </w:rPr>
            </w:pPr>
            <w:r>
              <w:rPr>
                <w:rFonts w:hint="eastAsia" w:ascii="Cambria" w:hAnsi="Cambria"/>
                <w:b/>
                <w:sz w:val="80"/>
                <w:szCs w:val="80"/>
              </w:rPr>
              <w:t>湟源县交通运输局（本级）</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vAlign w:val="center"/>
          </w:tcPr>
          <w:p>
            <w:pPr>
              <w:pStyle w:val="12"/>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vAlign w:val="center"/>
          </w:tcPr>
          <w:p>
            <w:pPr>
              <w:pStyle w:val="12"/>
              <w:jc w:val="center"/>
            </w:pPr>
          </w:p>
        </w:tc>
      </w:tr>
    </w:tbl>
    <w:p/>
    <w:tbl>
      <w:tblPr>
        <w:tblStyle w:val="5"/>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tcPr>
          <w:p>
            <w:pPr>
              <w:pStyle w:val="12"/>
            </w:pPr>
          </w:p>
        </w:tc>
      </w:tr>
    </w:tbl>
    <w:p>
      <w:pPr>
        <w:jc w:val="center"/>
        <w:rPr>
          <w:rFonts w:ascii="华文琥珀" w:hAnsi="楷体" w:eastAsia="华文琥珀"/>
          <w:sz w:val="84"/>
          <w:szCs w:val="84"/>
        </w:rPr>
      </w:pPr>
      <w:r>
        <w:rPr>
          <w:rFonts w:hint="eastAsia" w:ascii="华文琥珀" w:hAnsi="楷体" w:eastAsia="华文琥珀"/>
          <w:sz w:val="84"/>
          <w:szCs w:val="84"/>
        </w:rPr>
        <w:t>2023</w:t>
      </w:r>
      <w:r>
        <w:rPr>
          <w:rFonts w:hint="eastAsia" w:ascii="华文琥珀" w:hAnsi="楷体" w:eastAsia="华文琥珀"/>
          <w:sz w:val="84"/>
          <w:szCs w:val="84"/>
          <w:lang w:val="zh-CN"/>
        </w:rPr>
        <w:t>年部门预算</w:t>
      </w:r>
    </w:p>
    <w:p/>
    <w:p/>
    <w:p/>
    <w:p/>
    <w:p/>
    <w:p/>
    <w:p/>
    <w:p/>
    <w:p/>
    <w:p/>
    <w:p/>
    <w:p/>
    <w:p/>
    <w:p/>
    <w:p/>
    <w:p/>
    <w:p/>
    <w:p/>
    <w:p>
      <w:pPr>
        <w:adjustRightInd w:val="0"/>
        <w:snapToGrid w:val="0"/>
        <w:spacing w:line="560" w:lineRule="exact"/>
        <w:jc w:val="center"/>
        <w:rPr>
          <w:rFonts w:ascii="仿宋" w:hAnsi="仿宋" w:eastAsia="仿宋"/>
          <w:color w:val="000000"/>
          <w:sz w:val="32"/>
          <w:szCs w:val="32"/>
        </w:rPr>
      </w:pPr>
    </w:p>
    <w:p>
      <w:pPr>
        <w:adjustRightInd w:val="0"/>
        <w:snapToGrid w:val="0"/>
        <w:spacing w:line="560" w:lineRule="exact"/>
        <w:ind w:firstLine="720" w:firstLineChars="200"/>
        <w:jc w:val="center"/>
        <w:rPr>
          <w:rFonts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ascii="小标宋" w:eastAsia="小标宋"/>
          <w:color w:val="000000"/>
          <w:sz w:val="36"/>
          <w:szCs w:val="36"/>
        </w:rPr>
      </w:pP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第一部分  部门概况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二、机构设置</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三、部门预算部门构成</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第二部分  部门预算表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rPr>
        <w:t>部门预算情况说明</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第一部分　部门概况</w:t>
      </w:r>
    </w:p>
    <w:p>
      <w:pPr>
        <w:adjustRightInd w:val="0"/>
        <w:snapToGrid w:val="0"/>
        <w:spacing w:line="560" w:lineRule="exact"/>
        <w:ind w:firstLine="600" w:firstLineChars="200"/>
        <w:rPr>
          <w:rFonts w:ascii="黑体" w:eastAsia="黑体"/>
          <w:color w:val="000000"/>
          <w:sz w:val="30"/>
          <w:szCs w:val="30"/>
        </w:rPr>
      </w:pP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根据《中共西宁市委办公厅、西宁市人民政府办公厅关于印发〈湟源县人民政府职能转变和机构改革方案〉的通知》（宁办发〔2015〕37号），设立湟源县交通运输局，为县政府工作部门。主要职责</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rPr>
      </w:pPr>
      <w:r>
        <w:rPr>
          <w:rFonts w:hint="eastAsia" w:ascii="仿宋_GB2312" w:eastAsia="仿宋_GB2312"/>
          <w:sz w:val="32"/>
          <w:szCs w:val="32"/>
        </w:rPr>
        <w:t>（一）贯彻执行国家和省、市有关交通运输的方针政策和法律法规；拟订交通运输工作发展规划和年度计划，并组织实施。</w:t>
      </w:r>
    </w:p>
    <w:p>
      <w:pPr>
        <w:ind w:firstLine="640" w:firstLineChars="200"/>
        <w:rPr>
          <w:rFonts w:hint="eastAsia" w:ascii="仿宋_GB2312" w:eastAsia="仿宋_GB2312"/>
          <w:sz w:val="32"/>
          <w:szCs w:val="32"/>
        </w:rPr>
      </w:pPr>
      <w:r>
        <w:rPr>
          <w:rFonts w:hint="eastAsia" w:ascii="仿宋_GB2312" w:eastAsia="仿宋_GB2312"/>
          <w:sz w:val="32"/>
          <w:szCs w:val="32"/>
        </w:rPr>
        <w:t>（二）执行并监督实施公路有关制度、技术标准和运营规范；负责城乡客运设施规划和管理。</w:t>
      </w:r>
    </w:p>
    <w:p>
      <w:pPr>
        <w:ind w:firstLine="640" w:firstLineChars="200"/>
        <w:rPr>
          <w:rFonts w:hint="eastAsia" w:ascii="仿宋_GB2312" w:eastAsia="仿宋_GB2312"/>
          <w:sz w:val="32"/>
          <w:szCs w:val="32"/>
        </w:rPr>
      </w:pPr>
      <w:r>
        <w:rPr>
          <w:rFonts w:hint="eastAsia" w:ascii="仿宋_GB2312" w:eastAsia="仿宋_GB2312"/>
          <w:sz w:val="32"/>
          <w:szCs w:val="32"/>
        </w:rPr>
        <w:t>（三）承担公路运输市场、汽车驾驶学校和汽车驾驶员培训行业监管责任。负责交通运输行政执法行为的监督管理；维护道路交通运输和城乡客运的平等竞争秩序。</w:t>
      </w:r>
    </w:p>
    <w:p>
      <w:pPr>
        <w:ind w:firstLine="640" w:firstLineChars="200"/>
        <w:rPr>
          <w:rFonts w:hint="eastAsia" w:ascii="仿宋_GB2312" w:eastAsia="仿宋_GB2312"/>
          <w:sz w:val="32"/>
          <w:szCs w:val="32"/>
        </w:rPr>
      </w:pPr>
      <w:r>
        <w:rPr>
          <w:rFonts w:hint="eastAsia" w:ascii="仿宋_GB2312" w:eastAsia="仿宋_GB2312"/>
          <w:sz w:val="32"/>
          <w:szCs w:val="32"/>
        </w:rPr>
        <w:t>（四）负责提出交通运输行业固定资产投融资规模和方向、政府财政性资金安排意见；负责县级公路交通基础设施建设项目立项审查及申报工作。</w:t>
      </w:r>
    </w:p>
    <w:p>
      <w:pPr>
        <w:ind w:firstLine="640" w:firstLineChars="200"/>
        <w:rPr>
          <w:rFonts w:hint="eastAsia" w:ascii="仿宋_GB2312" w:eastAsia="仿宋_GB2312"/>
          <w:sz w:val="32"/>
          <w:szCs w:val="32"/>
        </w:rPr>
      </w:pPr>
      <w:r>
        <w:rPr>
          <w:rFonts w:hint="eastAsia" w:ascii="仿宋_GB2312" w:eastAsia="仿宋_GB2312"/>
          <w:sz w:val="32"/>
          <w:szCs w:val="32"/>
        </w:rPr>
        <w:t>（五）承担公路建设市场监管责任。负责协调国家及省市重点公路工程建设和工程质量、安全生产监督管理及代建支持项目的协调配合工作；负责监督交通运输基础设施的建设、养护和管理。</w:t>
      </w:r>
    </w:p>
    <w:p>
      <w:pPr>
        <w:ind w:firstLine="640" w:firstLineChars="200"/>
        <w:rPr>
          <w:rFonts w:hint="eastAsia" w:ascii="仿宋_GB2312" w:eastAsia="仿宋_GB2312"/>
          <w:sz w:val="32"/>
          <w:szCs w:val="32"/>
        </w:rPr>
      </w:pPr>
      <w:r>
        <w:rPr>
          <w:rFonts w:hint="eastAsia" w:ascii="仿宋_GB2312" w:eastAsia="仿宋_GB2312"/>
          <w:sz w:val="32"/>
          <w:szCs w:val="32"/>
        </w:rPr>
        <w:t>（六）负责交通运输行业安全生产和应急管理工作；组织或参与事故调查处理。</w:t>
      </w:r>
    </w:p>
    <w:p>
      <w:pPr>
        <w:ind w:firstLine="640" w:firstLineChars="200"/>
        <w:rPr>
          <w:rFonts w:hint="eastAsia" w:ascii="仿宋_GB2312" w:eastAsia="仿宋_GB2312"/>
          <w:sz w:val="32"/>
          <w:szCs w:val="32"/>
        </w:rPr>
      </w:pPr>
      <w:r>
        <w:rPr>
          <w:rFonts w:hint="eastAsia" w:ascii="仿宋_GB2312" w:eastAsia="仿宋_GB2312"/>
          <w:sz w:val="32"/>
          <w:szCs w:val="32"/>
        </w:rPr>
        <w:t>（七）负责交通运输信息化建设和交通运输行业技术进步工作；监测分析运行情况，开展交通运输行业综合统计工作，发布有关信息；负责县域内公路超限超载治理工作；负责交通运输行业环境保护和节能减排工作。</w:t>
      </w:r>
    </w:p>
    <w:p>
      <w:pPr>
        <w:ind w:firstLine="640" w:firstLineChars="200"/>
        <w:rPr>
          <w:rFonts w:hint="eastAsia" w:ascii="仿宋_GB2312" w:eastAsia="仿宋_GB2312"/>
          <w:sz w:val="32"/>
          <w:szCs w:val="32"/>
        </w:rPr>
      </w:pPr>
      <w:r>
        <w:rPr>
          <w:rFonts w:hint="eastAsia" w:ascii="仿宋_GB2312" w:eastAsia="仿宋_GB2312"/>
          <w:sz w:val="32"/>
          <w:szCs w:val="32"/>
        </w:rPr>
        <w:t>（八）负责城乡客运行业管理工作,执行相关政策、制度和标准；推进公交优先发展，协调做好县内公交线路、场站、站点的规划、建设和管理；负责出租汽车管理，依法规范出租客运经营行为，维护客运市场秩序。</w:t>
      </w:r>
    </w:p>
    <w:p>
      <w:pPr>
        <w:ind w:firstLine="640" w:firstLineChars="200"/>
        <w:rPr>
          <w:rFonts w:hint="eastAsia" w:ascii="仿宋_GB2312" w:eastAsia="仿宋_GB2312"/>
          <w:sz w:val="32"/>
          <w:szCs w:val="32"/>
        </w:rPr>
      </w:pPr>
      <w:r>
        <w:rPr>
          <w:rFonts w:hint="eastAsia" w:ascii="仿宋_GB2312" w:eastAsia="仿宋_GB2312"/>
          <w:sz w:val="32"/>
          <w:szCs w:val="32"/>
        </w:rPr>
        <w:t>（九）负责交通运输行业法制宣传工作。</w:t>
      </w:r>
    </w:p>
    <w:p>
      <w:pPr>
        <w:ind w:firstLine="640" w:firstLineChars="200"/>
        <w:rPr>
          <w:rFonts w:hint="eastAsia" w:ascii="仿宋_GB2312" w:eastAsia="仿宋_GB2312"/>
          <w:sz w:val="32"/>
          <w:szCs w:val="32"/>
        </w:rPr>
      </w:pPr>
      <w:r>
        <w:rPr>
          <w:rFonts w:hint="eastAsia" w:ascii="仿宋_GB2312" w:eastAsia="仿宋_GB2312"/>
          <w:sz w:val="32"/>
          <w:szCs w:val="32"/>
        </w:rPr>
        <w:t>（十）承办县政府交办的其他事项。</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二、机构设置</w:t>
      </w:r>
    </w:p>
    <w:p>
      <w:pPr>
        <w:ind w:firstLine="640" w:firstLineChars="20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年度预算编制范围一级预算单位1个。内设局长1人，副局长5人。下设局办公室、建管中心、财务室、后勤、四好农村公路办公室。</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三、部门预算部门构成</w:t>
      </w:r>
    </w:p>
    <w:p>
      <w:pPr>
        <w:ind w:firstLine="640" w:firstLineChars="200"/>
        <w:rPr>
          <w:rFonts w:hint="eastAsia" w:ascii="仿宋_GB2312" w:eastAsia="仿宋_GB2312"/>
          <w:sz w:val="32"/>
          <w:szCs w:val="32"/>
        </w:rPr>
      </w:pPr>
      <w:r>
        <w:rPr>
          <w:rFonts w:hint="eastAsia" w:ascii="仿宋_GB2312" w:eastAsia="仿宋_GB2312"/>
          <w:sz w:val="32"/>
          <w:szCs w:val="32"/>
        </w:rPr>
        <w:t>纳入湟源县交通运输局</w:t>
      </w:r>
      <w:r>
        <w:rPr>
          <w:rFonts w:hint="eastAsia" w:ascii="仿宋_GB2312" w:eastAsia="仿宋_GB2312"/>
          <w:sz w:val="32"/>
          <w:szCs w:val="32"/>
          <w:lang w:eastAsia="zh-CN"/>
        </w:rPr>
        <w:t>（</w:t>
      </w:r>
      <w:r>
        <w:rPr>
          <w:rFonts w:hint="eastAsia" w:ascii="仿宋_GB2312" w:eastAsia="仿宋_GB2312"/>
          <w:sz w:val="32"/>
          <w:szCs w:val="32"/>
          <w:lang w:val="en-US" w:eastAsia="zh-CN"/>
        </w:rPr>
        <w:t>本级</w:t>
      </w:r>
      <w:r>
        <w:rPr>
          <w:rFonts w:hint="eastAsia" w:ascii="仿宋_GB2312" w:eastAsia="仿宋_GB2312"/>
          <w:sz w:val="32"/>
          <w:szCs w:val="32"/>
          <w:lang w:eastAsia="zh-CN"/>
        </w:rPr>
        <w:t>）</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年部门预算编制范围的二级预算单位包括：</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Pr>
          <w:p>
            <w:pPr>
              <w:ind w:firstLine="160" w:firstLineChars="50"/>
              <w:rPr>
                <w:rFonts w:ascii="仿宋_GB2312" w:eastAsia="仿宋_GB2312"/>
                <w:sz w:val="32"/>
                <w:szCs w:val="32"/>
              </w:rPr>
            </w:pPr>
            <w:r>
              <w:rPr>
                <w:rFonts w:hint="eastAsia" w:ascii="仿宋_GB2312" w:eastAsia="仿宋_GB2312"/>
                <w:sz w:val="32"/>
                <w:szCs w:val="32"/>
              </w:rPr>
              <w:t>序号</w:t>
            </w:r>
          </w:p>
        </w:tc>
        <w:tc>
          <w:tcPr>
            <w:tcW w:w="6328" w:type="dxa"/>
          </w:tcPr>
          <w:p>
            <w:pPr>
              <w:jc w:val="center"/>
              <w:rPr>
                <w:rFonts w:ascii="仿宋_GB2312" w:eastAsia="仿宋_GB2312"/>
                <w:sz w:val="32"/>
                <w:szCs w:val="32"/>
              </w:rPr>
            </w:pPr>
            <w:r>
              <w:rPr>
                <w:rFonts w:hint="eastAsia" w:ascii="仿宋_GB2312" w:eastAsia="仿宋_GB2312"/>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Pr>
          <w:p>
            <w:pPr>
              <w:jc w:val="center"/>
              <w:rPr>
                <w:rFonts w:ascii="仿宋_GB2312" w:eastAsia="仿宋_GB2312"/>
                <w:sz w:val="32"/>
                <w:szCs w:val="32"/>
              </w:rPr>
            </w:pPr>
            <w:r>
              <w:rPr>
                <w:rFonts w:hint="eastAsia" w:ascii="仿宋_GB2312" w:eastAsia="仿宋_GB2312"/>
                <w:sz w:val="32"/>
                <w:szCs w:val="32"/>
              </w:rPr>
              <w:t>1</w:t>
            </w:r>
          </w:p>
        </w:tc>
        <w:tc>
          <w:tcPr>
            <w:tcW w:w="6328" w:type="dxa"/>
          </w:tcPr>
          <w:p>
            <w:pPr>
              <w:jc w:val="center"/>
              <w:rPr>
                <w:rFonts w:hint="eastAsia" w:ascii="仿宋_GB2312" w:eastAsia="仿宋_GB2312"/>
                <w:sz w:val="32"/>
                <w:szCs w:val="32"/>
                <w:lang w:eastAsia="zh-CN"/>
              </w:rPr>
            </w:pPr>
            <w:r>
              <w:rPr>
                <w:rFonts w:hint="eastAsia" w:ascii="仿宋_GB2312" w:eastAsia="仿宋_GB2312"/>
                <w:sz w:val="32"/>
                <w:szCs w:val="32"/>
                <w:lang w:val="en-US" w:eastAsia="zh-CN"/>
              </w:rPr>
              <w:t>无</w:t>
            </w:r>
          </w:p>
        </w:tc>
      </w:tr>
    </w:tbl>
    <w:p>
      <w:pPr>
        <w:adjustRightInd w:val="0"/>
        <w:snapToGrid w:val="0"/>
        <w:spacing w:line="560" w:lineRule="exact"/>
        <w:ind w:firstLine="600" w:firstLineChars="200"/>
        <w:jc w:val="center"/>
        <w:rPr>
          <w:rFonts w:ascii="仿宋_GB2312" w:eastAsia="仿宋_GB2312"/>
          <w:color w:val="000000"/>
          <w:sz w:val="30"/>
          <w:szCs w:val="30"/>
        </w:rPr>
      </w:pPr>
    </w:p>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第二部分  部门预算表</w:t>
      </w:r>
    </w:p>
    <w:tbl>
      <w:tblPr>
        <w:tblStyle w:val="5"/>
        <w:tblW w:w="9870" w:type="dxa"/>
        <w:jc w:val="center"/>
        <w:tblLayout w:type="fixed"/>
        <w:tblCellMar>
          <w:top w:w="0" w:type="dxa"/>
          <w:left w:w="108" w:type="dxa"/>
          <w:bottom w:w="0" w:type="dxa"/>
          <w:right w:w="108" w:type="dxa"/>
        </w:tblCellMar>
      </w:tblPr>
      <w:tblGrid>
        <w:gridCol w:w="3435"/>
        <w:gridCol w:w="1550"/>
        <w:gridCol w:w="3310"/>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vAlign w:val="center"/>
          </w:tcPr>
          <w:p>
            <w:pPr>
              <w:widowControl/>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498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88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4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33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4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一、一般公共预算拨款收入</w:t>
            </w:r>
          </w:p>
        </w:tc>
        <w:tc>
          <w:tcPr>
            <w:tcW w:w="15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2332.78</w:t>
            </w:r>
          </w:p>
        </w:tc>
        <w:tc>
          <w:tcPr>
            <w:tcW w:w="33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二、政府性基金预算拨款收入</w:t>
            </w:r>
          </w:p>
        </w:tc>
        <w:tc>
          <w:tcPr>
            <w:tcW w:w="15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三、国有资本经营预算拨款收入</w:t>
            </w:r>
          </w:p>
        </w:tc>
        <w:tc>
          <w:tcPr>
            <w:tcW w:w="15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四、财政专户管理资金收入</w:t>
            </w:r>
          </w:p>
        </w:tc>
        <w:tc>
          <w:tcPr>
            <w:tcW w:w="15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五、事业收入</w:t>
            </w:r>
          </w:p>
        </w:tc>
        <w:tc>
          <w:tcPr>
            <w:tcW w:w="15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六、上级补助收入</w:t>
            </w:r>
          </w:p>
        </w:tc>
        <w:tc>
          <w:tcPr>
            <w:tcW w:w="15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七、附属单位上缴收入</w:t>
            </w:r>
          </w:p>
        </w:tc>
        <w:tc>
          <w:tcPr>
            <w:tcW w:w="15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八、事业单位经营收入</w:t>
            </w:r>
          </w:p>
        </w:tc>
        <w:tc>
          <w:tcPr>
            <w:tcW w:w="15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33.16</w:t>
            </w:r>
          </w:p>
        </w:tc>
      </w:tr>
      <w:tr>
        <w:tblPrEx>
          <w:tblCellMar>
            <w:top w:w="0" w:type="dxa"/>
            <w:left w:w="108" w:type="dxa"/>
            <w:bottom w:w="0" w:type="dxa"/>
            <w:right w:w="108" w:type="dxa"/>
          </w:tblCellMar>
        </w:tblPrEx>
        <w:trPr>
          <w:trHeight w:val="225" w:hRule="atLeast"/>
          <w:jc w:val="center"/>
        </w:trPr>
        <w:tc>
          <w:tcPr>
            <w:tcW w:w="34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九、其他收入</w:t>
            </w:r>
          </w:p>
        </w:tc>
        <w:tc>
          <w:tcPr>
            <w:tcW w:w="15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15.29</w:t>
            </w:r>
          </w:p>
        </w:tc>
      </w:tr>
      <w:tr>
        <w:tblPrEx>
          <w:tblCellMar>
            <w:top w:w="0" w:type="dxa"/>
            <w:left w:w="108" w:type="dxa"/>
            <w:bottom w:w="0" w:type="dxa"/>
            <w:right w:w="108" w:type="dxa"/>
          </w:tblCellMar>
        </w:tblPrEx>
        <w:trPr>
          <w:trHeight w:val="225" w:hRule="atLeast"/>
          <w:jc w:val="center"/>
        </w:trPr>
        <w:tc>
          <w:tcPr>
            <w:tcW w:w="34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409.61</w:t>
            </w:r>
          </w:p>
        </w:tc>
      </w:tr>
      <w:tr>
        <w:tblPrEx>
          <w:tblCellMar>
            <w:top w:w="0" w:type="dxa"/>
            <w:left w:w="108" w:type="dxa"/>
            <w:bottom w:w="0" w:type="dxa"/>
            <w:right w:w="108" w:type="dxa"/>
          </w:tblCellMar>
        </w:tblPrEx>
        <w:trPr>
          <w:trHeight w:val="225" w:hRule="atLeast"/>
          <w:jc w:val="center"/>
        </w:trPr>
        <w:tc>
          <w:tcPr>
            <w:tcW w:w="34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5570.21</w:t>
            </w:r>
          </w:p>
        </w:tc>
      </w:tr>
      <w:tr>
        <w:tblPrEx>
          <w:tblCellMar>
            <w:top w:w="0" w:type="dxa"/>
            <w:left w:w="108" w:type="dxa"/>
            <w:bottom w:w="0" w:type="dxa"/>
            <w:right w:w="108" w:type="dxa"/>
          </w:tblCellMar>
        </w:tblPrEx>
        <w:trPr>
          <w:trHeight w:val="225" w:hRule="atLeast"/>
          <w:jc w:val="center"/>
        </w:trPr>
        <w:tc>
          <w:tcPr>
            <w:tcW w:w="34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8.73</w:t>
            </w:r>
          </w:p>
        </w:tc>
      </w:tr>
      <w:tr>
        <w:tblPrEx>
          <w:tblCellMar>
            <w:top w:w="0" w:type="dxa"/>
            <w:left w:w="108" w:type="dxa"/>
            <w:bottom w:w="0" w:type="dxa"/>
            <w:right w:w="108" w:type="dxa"/>
          </w:tblCellMar>
        </w:tblPrEx>
        <w:trPr>
          <w:trHeight w:val="225" w:hRule="atLeast"/>
          <w:jc w:val="center"/>
        </w:trPr>
        <w:tc>
          <w:tcPr>
            <w:tcW w:w="34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本年收入合计</w:t>
            </w:r>
          </w:p>
        </w:tc>
        <w:tc>
          <w:tcPr>
            <w:tcW w:w="15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2332.78</w:t>
            </w:r>
          </w:p>
        </w:tc>
        <w:tc>
          <w:tcPr>
            <w:tcW w:w="33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6037.01</w:t>
            </w:r>
          </w:p>
        </w:tc>
      </w:tr>
      <w:tr>
        <w:tblPrEx>
          <w:tblCellMar>
            <w:top w:w="0" w:type="dxa"/>
            <w:left w:w="108" w:type="dxa"/>
            <w:bottom w:w="0" w:type="dxa"/>
            <w:right w:w="108" w:type="dxa"/>
          </w:tblCellMar>
        </w:tblPrEx>
        <w:trPr>
          <w:trHeight w:val="225" w:hRule="atLeast"/>
          <w:jc w:val="center"/>
        </w:trPr>
        <w:tc>
          <w:tcPr>
            <w:tcW w:w="34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上年结转</w:t>
            </w:r>
          </w:p>
        </w:tc>
        <w:tc>
          <w:tcPr>
            <w:tcW w:w="15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3704.23</w:t>
            </w:r>
          </w:p>
        </w:tc>
        <w:tc>
          <w:tcPr>
            <w:tcW w:w="33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收入总计</w:t>
            </w:r>
          </w:p>
        </w:tc>
        <w:tc>
          <w:tcPr>
            <w:tcW w:w="15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6037.01</w:t>
            </w:r>
          </w:p>
        </w:tc>
        <w:tc>
          <w:tcPr>
            <w:tcW w:w="33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6037.01</w:t>
            </w:r>
          </w:p>
        </w:tc>
      </w:tr>
    </w:tbl>
    <w:p>
      <w:pPr>
        <w:rPr>
          <w:rFonts w:ascii="仿宋_GB2312" w:eastAsia="仿宋_GB2312"/>
          <w:sz w:val="32"/>
          <w:szCs w:val="32"/>
        </w:rPr>
      </w:pPr>
    </w:p>
    <w:tbl>
      <w:tblPr>
        <w:tblStyle w:val="5"/>
        <w:tblpPr w:leftFromText="180" w:rightFromText="180" w:vertAnchor="text" w:horzAnchor="page" w:tblpXSpec="center" w:tblpY="618"/>
        <w:tblOverlap w:val="never"/>
        <w:tblW w:w="11013" w:type="dxa"/>
        <w:jc w:val="center"/>
        <w:tblLayout w:type="fixed"/>
        <w:tblCellMar>
          <w:top w:w="0" w:type="dxa"/>
          <w:left w:w="108" w:type="dxa"/>
          <w:bottom w:w="0" w:type="dxa"/>
          <w:right w:w="108" w:type="dxa"/>
        </w:tblCellMar>
      </w:tblPr>
      <w:tblGrid>
        <w:gridCol w:w="1120"/>
        <w:gridCol w:w="970"/>
        <w:gridCol w:w="1020"/>
        <w:gridCol w:w="1000"/>
        <w:gridCol w:w="870"/>
        <w:gridCol w:w="910"/>
        <w:gridCol w:w="870"/>
        <w:gridCol w:w="761"/>
        <w:gridCol w:w="914"/>
        <w:gridCol w:w="914"/>
        <w:gridCol w:w="914"/>
        <w:gridCol w:w="750"/>
      </w:tblGrid>
      <w:tr>
        <w:tblPrEx>
          <w:tblCellMar>
            <w:top w:w="0" w:type="dxa"/>
            <w:left w:w="108" w:type="dxa"/>
            <w:bottom w:w="0" w:type="dxa"/>
            <w:right w:w="108" w:type="dxa"/>
          </w:tblCellMar>
        </w:tblPrEx>
        <w:trPr>
          <w:trHeight w:val="392" w:hRule="atLeast"/>
          <w:jc w:val="center"/>
        </w:trPr>
        <w:tc>
          <w:tcPr>
            <w:tcW w:w="11013"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013"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013" w:type="dxa"/>
            <w:gridSpan w:val="12"/>
            <w:tcBorders>
              <w:top w:val="nil"/>
              <w:left w:val="nil"/>
              <w:bottom w:val="single" w:color="auto" w:sz="4" w:space="0"/>
              <w:right w:val="nil"/>
            </w:tcBorders>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预算部门</w:t>
            </w:r>
          </w:p>
        </w:tc>
        <w:tc>
          <w:tcPr>
            <w:tcW w:w="9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一般公共预算拨款收入</w:t>
            </w:r>
          </w:p>
        </w:tc>
        <w:tc>
          <w:tcPr>
            <w:tcW w:w="8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lang w:bidi="ar"/>
              </w:rPr>
              <w:t>政府性基金预算拨款收入</w:t>
            </w:r>
          </w:p>
        </w:tc>
        <w:tc>
          <w:tcPr>
            <w:tcW w:w="9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8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附属部门上缴收入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事业部门经营收入</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p>
        </w:tc>
        <w:tc>
          <w:tcPr>
            <w:tcW w:w="97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6037.01</w:t>
            </w:r>
          </w:p>
        </w:tc>
        <w:tc>
          <w:tcPr>
            <w:tcW w:w="10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3704.23</w:t>
            </w:r>
          </w:p>
        </w:tc>
        <w:tc>
          <w:tcPr>
            <w:tcW w:w="10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2332.78</w:t>
            </w:r>
          </w:p>
        </w:tc>
        <w:tc>
          <w:tcPr>
            <w:tcW w:w="87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8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7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7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湟源县交通运输局</w:t>
            </w:r>
          </w:p>
        </w:tc>
        <w:tc>
          <w:tcPr>
            <w:tcW w:w="97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6037.01</w:t>
            </w:r>
          </w:p>
        </w:tc>
        <w:tc>
          <w:tcPr>
            <w:tcW w:w="10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3704.23</w:t>
            </w:r>
          </w:p>
        </w:tc>
        <w:tc>
          <w:tcPr>
            <w:tcW w:w="10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2332.78</w:t>
            </w:r>
          </w:p>
        </w:tc>
        <w:tc>
          <w:tcPr>
            <w:tcW w:w="87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8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7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7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湟源县交通运输局（本级）</w:t>
            </w:r>
          </w:p>
        </w:tc>
        <w:tc>
          <w:tcPr>
            <w:tcW w:w="97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6037.01</w:t>
            </w:r>
          </w:p>
        </w:tc>
        <w:tc>
          <w:tcPr>
            <w:tcW w:w="10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3704.23</w:t>
            </w:r>
          </w:p>
        </w:tc>
        <w:tc>
          <w:tcPr>
            <w:tcW w:w="10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2332.78</w:t>
            </w:r>
          </w:p>
        </w:tc>
        <w:tc>
          <w:tcPr>
            <w:tcW w:w="87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8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7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7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bl>
    <w:p>
      <w:pPr>
        <w:rPr>
          <w:rFonts w:ascii="仿宋_GB2312" w:eastAsia="仿宋_GB2312"/>
          <w:sz w:val="32"/>
          <w:szCs w:val="32"/>
        </w:rPr>
      </w:pPr>
      <w:r>
        <w:rPr>
          <w:rFonts w:hint="eastAsia" w:ascii="仿宋_GB2312" w:eastAsia="仿宋_GB2312"/>
          <w:sz w:val="32"/>
          <w:szCs w:val="32"/>
        </w:rPr>
        <w:br w:type="page"/>
      </w:r>
    </w:p>
    <w:tbl>
      <w:tblPr>
        <w:tblStyle w:val="5"/>
        <w:tblW w:w="11233" w:type="dxa"/>
        <w:jc w:val="center"/>
        <w:tblLayout w:type="fixed"/>
        <w:tblCellMar>
          <w:top w:w="0" w:type="dxa"/>
          <w:left w:w="108" w:type="dxa"/>
          <w:bottom w:w="0" w:type="dxa"/>
          <w:right w:w="108" w:type="dxa"/>
        </w:tblCellMar>
      </w:tblPr>
      <w:tblGrid>
        <w:gridCol w:w="1100"/>
        <w:gridCol w:w="4237"/>
        <w:gridCol w:w="1100"/>
        <w:gridCol w:w="1010"/>
        <w:gridCol w:w="1030"/>
        <w:gridCol w:w="963"/>
        <w:gridCol w:w="888"/>
        <w:gridCol w:w="905"/>
      </w:tblGrid>
      <w:tr>
        <w:tblPrEx>
          <w:tblCellMar>
            <w:top w:w="0" w:type="dxa"/>
            <w:left w:w="108" w:type="dxa"/>
            <w:bottom w:w="0" w:type="dxa"/>
            <w:right w:w="108" w:type="dxa"/>
          </w:tblCellMar>
        </w:tblPrEx>
        <w:trPr>
          <w:trHeight w:val="187" w:hRule="atLeast"/>
          <w:jc w:val="center"/>
        </w:trPr>
        <w:tc>
          <w:tcPr>
            <w:tcW w:w="11233"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rPr>
              <w:t>部门公开表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233"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233" w:type="dxa"/>
            <w:gridSpan w:val="8"/>
            <w:tcBorders>
              <w:top w:val="nil"/>
              <w:left w:val="nil"/>
              <w:bottom w:val="single" w:color="auto" w:sz="4" w:space="0"/>
              <w:right w:val="nil"/>
            </w:tcBorders>
            <w:shd w:val="clear" w:color="auto" w:fill="FFFFFF"/>
            <w:noWrap/>
            <w:vAlign w:val="center"/>
          </w:tcPr>
          <w:p>
            <w:pPr>
              <w:widowControl/>
              <w:jc w:val="right"/>
              <w:rPr>
                <w:rFonts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42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9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事业部门经营支出</w:t>
            </w:r>
          </w:p>
        </w:tc>
        <w:tc>
          <w:tcPr>
            <w:tcW w:w="8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9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对附属部门补助支出</w:t>
            </w:r>
          </w:p>
        </w:tc>
      </w:tr>
      <w:tr>
        <w:tblPrEx>
          <w:tblCellMar>
            <w:top w:w="0" w:type="dxa"/>
            <w:left w:w="108" w:type="dxa"/>
            <w:bottom w:w="0" w:type="dxa"/>
            <w:right w:w="108" w:type="dxa"/>
          </w:tblCellMar>
        </w:tblPrEx>
        <w:trPr>
          <w:trHeight w:val="324" w:hRule="atLeast"/>
          <w:jc w:val="center"/>
        </w:trPr>
        <w:tc>
          <w:tcPr>
            <w:tcW w:w="5337"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6037.01</w:t>
            </w:r>
          </w:p>
        </w:tc>
        <w:tc>
          <w:tcPr>
            <w:tcW w:w="10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152.77</w:t>
            </w: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5884.24</w:t>
            </w:r>
          </w:p>
        </w:tc>
        <w:tc>
          <w:tcPr>
            <w:tcW w:w="9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w:t>
            </w:r>
          </w:p>
        </w:tc>
        <w:tc>
          <w:tcPr>
            <w:tcW w:w="42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社会保障和就业支出</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33.16</w:t>
            </w:r>
          </w:p>
        </w:tc>
        <w:tc>
          <w:tcPr>
            <w:tcW w:w="10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33.16</w:t>
            </w: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w:t>
            </w:r>
          </w:p>
        </w:tc>
        <w:tc>
          <w:tcPr>
            <w:tcW w:w="42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行政事业单位养老支出</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33.06</w:t>
            </w:r>
          </w:p>
        </w:tc>
        <w:tc>
          <w:tcPr>
            <w:tcW w:w="10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33.06</w:t>
            </w: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2080505</w:t>
            </w:r>
          </w:p>
        </w:tc>
        <w:tc>
          <w:tcPr>
            <w:tcW w:w="42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机关事业单位基本养老保险缴费支出</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10.03</w:t>
            </w:r>
          </w:p>
        </w:tc>
        <w:tc>
          <w:tcPr>
            <w:tcW w:w="10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10.03</w:t>
            </w: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2080506</w:t>
            </w:r>
          </w:p>
        </w:tc>
        <w:tc>
          <w:tcPr>
            <w:tcW w:w="42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机关事业单位职业年金缴费支出</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5.02</w:t>
            </w:r>
          </w:p>
        </w:tc>
        <w:tc>
          <w:tcPr>
            <w:tcW w:w="10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5.02</w:t>
            </w: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2080599</w:t>
            </w:r>
          </w:p>
        </w:tc>
        <w:tc>
          <w:tcPr>
            <w:tcW w:w="42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其他行政事业单位养老支出</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18.01</w:t>
            </w:r>
          </w:p>
        </w:tc>
        <w:tc>
          <w:tcPr>
            <w:tcW w:w="10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18.01</w:t>
            </w: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20899</w:t>
            </w:r>
          </w:p>
        </w:tc>
        <w:tc>
          <w:tcPr>
            <w:tcW w:w="42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其他社会保障和就业支出</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0.11</w:t>
            </w:r>
          </w:p>
        </w:tc>
        <w:tc>
          <w:tcPr>
            <w:tcW w:w="10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0.11</w:t>
            </w: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2089999</w:t>
            </w:r>
          </w:p>
        </w:tc>
        <w:tc>
          <w:tcPr>
            <w:tcW w:w="42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其他社会保障和就业支出</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0.11</w:t>
            </w:r>
          </w:p>
        </w:tc>
        <w:tc>
          <w:tcPr>
            <w:tcW w:w="10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0.11</w:t>
            </w: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w:t>
            </w:r>
          </w:p>
        </w:tc>
        <w:tc>
          <w:tcPr>
            <w:tcW w:w="42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卫生健康支出</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15.29</w:t>
            </w:r>
          </w:p>
        </w:tc>
        <w:tc>
          <w:tcPr>
            <w:tcW w:w="10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12.29</w:t>
            </w: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3.00</w:t>
            </w:r>
          </w:p>
        </w:tc>
        <w:tc>
          <w:tcPr>
            <w:tcW w:w="9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21004</w:t>
            </w:r>
          </w:p>
        </w:tc>
        <w:tc>
          <w:tcPr>
            <w:tcW w:w="42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公共卫生</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3.00</w:t>
            </w:r>
          </w:p>
        </w:tc>
        <w:tc>
          <w:tcPr>
            <w:tcW w:w="10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3.00</w:t>
            </w:r>
          </w:p>
        </w:tc>
        <w:tc>
          <w:tcPr>
            <w:tcW w:w="9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2100410</w:t>
            </w:r>
          </w:p>
        </w:tc>
        <w:tc>
          <w:tcPr>
            <w:tcW w:w="42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突发公共卫生事件应急处理</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3.00</w:t>
            </w:r>
          </w:p>
        </w:tc>
        <w:tc>
          <w:tcPr>
            <w:tcW w:w="10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3.00</w:t>
            </w:r>
          </w:p>
        </w:tc>
        <w:tc>
          <w:tcPr>
            <w:tcW w:w="9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w:t>
            </w:r>
          </w:p>
        </w:tc>
        <w:tc>
          <w:tcPr>
            <w:tcW w:w="42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行政事业单位医疗</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12.29</w:t>
            </w:r>
          </w:p>
        </w:tc>
        <w:tc>
          <w:tcPr>
            <w:tcW w:w="10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12.29</w:t>
            </w: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2101101</w:t>
            </w:r>
          </w:p>
        </w:tc>
        <w:tc>
          <w:tcPr>
            <w:tcW w:w="42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行政单位医疗</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7.94</w:t>
            </w:r>
          </w:p>
        </w:tc>
        <w:tc>
          <w:tcPr>
            <w:tcW w:w="10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7.94</w:t>
            </w: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2101103</w:t>
            </w:r>
          </w:p>
        </w:tc>
        <w:tc>
          <w:tcPr>
            <w:tcW w:w="42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公务员医疗补助</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4.35</w:t>
            </w:r>
          </w:p>
        </w:tc>
        <w:tc>
          <w:tcPr>
            <w:tcW w:w="10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4.35</w:t>
            </w: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w:t>
            </w:r>
          </w:p>
        </w:tc>
        <w:tc>
          <w:tcPr>
            <w:tcW w:w="42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农林水支出</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409.61</w:t>
            </w:r>
          </w:p>
        </w:tc>
        <w:tc>
          <w:tcPr>
            <w:tcW w:w="10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409.61</w:t>
            </w:r>
          </w:p>
        </w:tc>
        <w:tc>
          <w:tcPr>
            <w:tcW w:w="9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21305</w:t>
            </w:r>
          </w:p>
        </w:tc>
        <w:tc>
          <w:tcPr>
            <w:tcW w:w="42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巩固脱贫攻坚成果衔接乡村振兴</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409.61</w:t>
            </w:r>
          </w:p>
        </w:tc>
        <w:tc>
          <w:tcPr>
            <w:tcW w:w="10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409.61</w:t>
            </w:r>
          </w:p>
        </w:tc>
        <w:tc>
          <w:tcPr>
            <w:tcW w:w="9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2130504</w:t>
            </w:r>
          </w:p>
        </w:tc>
        <w:tc>
          <w:tcPr>
            <w:tcW w:w="42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农村基础设施建设</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9.61</w:t>
            </w:r>
          </w:p>
        </w:tc>
        <w:tc>
          <w:tcPr>
            <w:tcW w:w="10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9.61</w:t>
            </w:r>
          </w:p>
        </w:tc>
        <w:tc>
          <w:tcPr>
            <w:tcW w:w="9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2130599</w:t>
            </w:r>
          </w:p>
        </w:tc>
        <w:tc>
          <w:tcPr>
            <w:tcW w:w="42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其他巩固脱贫攻坚成果衔接乡村振兴支出</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400.00</w:t>
            </w:r>
          </w:p>
        </w:tc>
        <w:tc>
          <w:tcPr>
            <w:tcW w:w="10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400.00</w:t>
            </w:r>
          </w:p>
        </w:tc>
        <w:tc>
          <w:tcPr>
            <w:tcW w:w="9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214</w:t>
            </w:r>
          </w:p>
        </w:tc>
        <w:tc>
          <w:tcPr>
            <w:tcW w:w="42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交通运输支出</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5570.21</w:t>
            </w:r>
          </w:p>
        </w:tc>
        <w:tc>
          <w:tcPr>
            <w:tcW w:w="10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98.58</w:t>
            </w: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5471.63</w:t>
            </w:r>
          </w:p>
        </w:tc>
        <w:tc>
          <w:tcPr>
            <w:tcW w:w="9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21401</w:t>
            </w:r>
          </w:p>
        </w:tc>
        <w:tc>
          <w:tcPr>
            <w:tcW w:w="42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公路水路运输</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2171.90</w:t>
            </w:r>
          </w:p>
        </w:tc>
        <w:tc>
          <w:tcPr>
            <w:tcW w:w="10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98.58</w:t>
            </w: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2073.32</w:t>
            </w:r>
          </w:p>
        </w:tc>
        <w:tc>
          <w:tcPr>
            <w:tcW w:w="9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2140101</w:t>
            </w:r>
          </w:p>
        </w:tc>
        <w:tc>
          <w:tcPr>
            <w:tcW w:w="42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行政运行</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142.58</w:t>
            </w:r>
          </w:p>
        </w:tc>
        <w:tc>
          <w:tcPr>
            <w:tcW w:w="10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98.58</w:t>
            </w: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44.00</w:t>
            </w:r>
          </w:p>
        </w:tc>
        <w:tc>
          <w:tcPr>
            <w:tcW w:w="9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2140104</w:t>
            </w:r>
          </w:p>
        </w:tc>
        <w:tc>
          <w:tcPr>
            <w:tcW w:w="42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公路建设</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1819.32</w:t>
            </w:r>
          </w:p>
        </w:tc>
        <w:tc>
          <w:tcPr>
            <w:tcW w:w="10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1819.32</w:t>
            </w:r>
          </w:p>
        </w:tc>
        <w:tc>
          <w:tcPr>
            <w:tcW w:w="9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2140199</w:t>
            </w:r>
          </w:p>
        </w:tc>
        <w:tc>
          <w:tcPr>
            <w:tcW w:w="42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其他公路水路运输支出</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210.00</w:t>
            </w:r>
          </w:p>
        </w:tc>
        <w:tc>
          <w:tcPr>
            <w:tcW w:w="10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210.00</w:t>
            </w:r>
          </w:p>
        </w:tc>
        <w:tc>
          <w:tcPr>
            <w:tcW w:w="9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21406</w:t>
            </w:r>
          </w:p>
        </w:tc>
        <w:tc>
          <w:tcPr>
            <w:tcW w:w="42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车辆购置税支出</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3398.31</w:t>
            </w:r>
          </w:p>
        </w:tc>
        <w:tc>
          <w:tcPr>
            <w:tcW w:w="10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3398.31</w:t>
            </w:r>
          </w:p>
        </w:tc>
        <w:tc>
          <w:tcPr>
            <w:tcW w:w="9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2140602</w:t>
            </w:r>
          </w:p>
        </w:tc>
        <w:tc>
          <w:tcPr>
            <w:tcW w:w="42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车辆购置税用于农村公路建设支出</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3398.31</w:t>
            </w:r>
          </w:p>
        </w:tc>
        <w:tc>
          <w:tcPr>
            <w:tcW w:w="10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3398.31</w:t>
            </w:r>
          </w:p>
        </w:tc>
        <w:tc>
          <w:tcPr>
            <w:tcW w:w="9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w:t>
            </w:r>
          </w:p>
        </w:tc>
        <w:tc>
          <w:tcPr>
            <w:tcW w:w="42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住房保障支出</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8.73</w:t>
            </w:r>
          </w:p>
        </w:tc>
        <w:tc>
          <w:tcPr>
            <w:tcW w:w="10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8.73</w:t>
            </w: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w:t>
            </w:r>
          </w:p>
        </w:tc>
        <w:tc>
          <w:tcPr>
            <w:tcW w:w="42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住房改革支出</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8.73</w:t>
            </w:r>
          </w:p>
        </w:tc>
        <w:tc>
          <w:tcPr>
            <w:tcW w:w="10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8.73</w:t>
            </w: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2210201</w:t>
            </w:r>
          </w:p>
        </w:tc>
        <w:tc>
          <w:tcPr>
            <w:tcW w:w="423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住房公积金</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8.73</w:t>
            </w:r>
          </w:p>
        </w:tc>
        <w:tc>
          <w:tcPr>
            <w:tcW w:w="10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8.73</w:t>
            </w: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88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bl>
    <w:p>
      <w:r>
        <w:br w:type="page"/>
      </w:r>
    </w:p>
    <w:tbl>
      <w:tblPr>
        <w:tblStyle w:val="5"/>
        <w:tblpPr w:leftFromText="180" w:rightFromText="180" w:vertAnchor="text" w:horzAnchor="page" w:tblpXSpec="center" w:tblpY="183"/>
        <w:tblOverlap w:val="never"/>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9"/>
        <w:gridCol w:w="1245"/>
        <w:gridCol w:w="2096"/>
        <w:gridCol w:w="1081"/>
        <w:gridCol w:w="1112"/>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9" w:type="dxa"/>
            <w:gridSpan w:val="6"/>
            <w:tcBorders>
              <w:top w:val="nil"/>
              <w:left w:val="nil"/>
              <w:bottom w:val="nil"/>
              <w:right w:val="nil"/>
            </w:tcBorders>
            <w:vAlign w:val="center"/>
          </w:tcPr>
          <w:p>
            <w:pPr>
              <w:widowControl/>
              <w:ind w:right="201"/>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629"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9"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34"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395"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24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209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08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11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10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一、本年收入</w:t>
            </w:r>
          </w:p>
        </w:tc>
        <w:tc>
          <w:tcPr>
            <w:tcW w:w="124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2332.78</w:t>
            </w:r>
          </w:p>
        </w:tc>
        <w:tc>
          <w:tcPr>
            <w:tcW w:w="209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一、本年支出</w:t>
            </w:r>
          </w:p>
        </w:tc>
        <w:tc>
          <w:tcPr>
            <w:tcW w:w="1081"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6037.01</w:t>
            </w:r>
          </w:p>
        </w:tc>
        <w:tc>
          <w:tcPr>
            <w:tcW w:w="111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6037.01</w:t>
            </w:r>
          </w:p>
        </w:tc>
        <w:tc>
          <w:tcPr>
            <w:tcW w:w="110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（一）一般公共预算拨款收入</w:t>
            </w:r>
          </w:p>
        </w:tc>
        <w:tc>
          <w:tcPr>
            <w:tcW w:w="124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2332.78</w:t>
            </w:r>
          </w:p>
        </w:tc>
        <w:tc>
          <w:tcPr>
            <w:tcW w:w="209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（一）一般公共服务支出</w:t>
            </w:r>
          </w:p>
        </w:tc>
        <w:tc>
          <w:tcPr>
            <w:tcW w:w="1081" w:type="dxa"/>
            <w:shd w:val="clear" w:color="auto" w:fill="FFFFFF"/>
            <w:noWrap/>
            <w:vAlign w:val="center"/>
          </w:tcPr>
          <w:p>
            <w:pPr>
              <w:widowControl/>
              <w:jc w:val="center"/>
              <w:rPr>
                <w:rFonts w:ascii="宋体" w:hAnsi="宋体" w:cs="宋体"/>
                <w:kern w:val="0"/>
                <w:sz w:val="20"/>
              </w:rPr>
            </w:pPr>
          </w:p>
        </w:tc>
        <w:tc>
          <w:tcPr>
            <w:tcW w:w="1112" w:type="dxa"/>
            <w:shd w:val="clear" w:color="auto" w:fill="FFFFFF"/>
            <w:noWrap/>
            <w:vAlign w:val="center"/>
          </w:tcPr>
          <w:p>
            <w:pPr>
              <w:widowControl/>
              <w:jc w:val="center"/>
              <w:rPr>
                <w:rFonts w:ascii="宋体" w:hAnsi="宋体" w:cs="宋体"/>
                <w:kern w:val="0"/>
                <w:sz w:val="20"/>
              </w:rPr>
            </w:pPr>
          </w:p>
        </w:tc>
        <w:tc>
          <w:tcPr>
            <w:tcW w:w="110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（二）政府性基金预算拨款收入</w:t>
            </w:r>
          </w:p>
        </w:tc>
        <w:tc>
          <w:tcPr>
            <w:tcW w:w="1245" w:type="dxa"/>
            <w:shd w:val="clear" w:color="auto" w:fill="FFFFFF"/>
            <w:noWrap/>
            <w:vAlign w:val="center"/>
          </w:tcPr>
          <w:p>
            <w:pPr>
              <w:widowControl/>
              <w:jc w:val="center"/>
              <w:rPr>
                <w:rFonts w:ascii="宋体" w:hAnsi="宋体" w:cs="宋体"/>
                <w:kern w:val="0"/>
                <w:sz w:val="20"/>
              </w:rPr>
            </w:pPr>
          </w:p>
        </w:tc>
        <w:tc>
          <w:tcPr>
            <w:tcW w:w="209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（二）外交支出</w:t>
            </w:r>
          </w:p>
        </w:tc>
        <w:tc>
          <w:tcPr>
            <w:tcW w:w="1081" w:type="dxa"/>
            <w:shd w:val="clear" w:color="auto" w:fill="FFFFFF"/>
            <w:noWrap/>
            <w:vAlign w:val="center"/>
          </w:tcPr>
          <w:p>
            <w:pPr>
              <w:widowControl/>
              <w:jc w:val="center"/>
              <w:rPr>
                <w:rFonts w:ascii="宋体" w:hAnsi="宋体" w:cs="宋体"/>
                <w:kern w:val="0"/>
                <w:sz w:val="20"/>
              </w:rPr>
            </w:pPr>
          </w:p>
        </w:tc>
        <w:tc>
          <w:tcPr>
            <w:tcW w:w="1112" w:type="dxa"/>
            <w:shd w:val="clear" w:color="auto" w:fill="FFFFFF"/>
            <w:noWrap/>
            <w:vAlign w:val="center"/>
          </w:tcPr>
          <w:p>
            <w:pPr>
              <w:widowControl/>
              <w:jc w:val="center"/>
              <w:rPr>
                <w:rFonts w:ascii="宋体" w:hAnsi="宋体" w:cs="宋体"/>
                <w:kern w:val="0"/>
                <w:sz w:val="20"/>
              </w:rPr>
            </w:pPr>
          </w:p>
        </w:tc>
        <w:tc>
          <w:tcPr>
            <w:tcW w:w="110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ascii="宋体" w:hAnsi="宋体" w:cs="宋体"/>
                <w:kern w:val="0"/>
                <w:sz w:val="20"/>
              </w:rPr>
            </w:pPr>
          </w:p>
        </w:tc>
        <w:tc>
          <w:tcPr>
            <w:tcW w:w="1245" w:type="dxa"/>
            <w:shd w:val="clear" w:color="auto" w:fill="FFFFFF"/>
            <w:noWrap/>
            <w:vAlign w:val="center"/>
          </w:tcPr>
          <w:p>
            <w:pPr>
              <w:widowControl/>
              <w:jc w:val="center"/>
              <w:rPr>
                <w:rFonts w:ascii="宋体" w:hAnsi="宋体" w:cs="宋体"/>
                <w:kern w:val="0"/>
                <w:sz w:val="20"/>
              </w:rPr>
            </w:pPr>
          </w:p>
        </w:tc>
        <w:tc>
          <w:tcPr>
            <w:tcW w:w="209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（三）国防支出</w:t>
            </w:r>
          </w:p>
        </w:tc>
        <w:tc>
          <w:tcPr>
            <w:tcW w:w="1081" w:type="dxa"/>
            <w:shd w:val="clear" w:color="auto" w:fill="FFFFFF"/>
            <w:noWrap/>
            <w:vAlign w:val="center"/>
          </w:tcPr>
          <w:p>
            <w:pPr>
              <w:widowControl/>
              <w:jc w:val="center"/>
              <w:rPr>
                <w:rFonts w:ascii="宋体" w:hAnsi="宋体" w:cs="宋体"/>
                <w:kern w:val="0"/>
                <w:sz w:val="20"/>
              </w:rPr>
            </w:pPr>
          </w:p>
        </w:tc>
        <w:tc>
          <w:tcPr>
            <w:tcW w:w="1112" w:type="dxa"/>
            <w:shd w:val="clear" w:color="auto" w:fill="FFFFFF"/>
            <w:noWrap/>
            <w:vAlign w:val="center"/>
          </w:tcPr>
          <w:p>
            <w:pPr>
              <w:widowControl/>
              <w:jc w:val="center"/>
              <w:rPr>
                <w:rFonts w:ascii="宋体" w:hAnsi="宋体" w:cs="宋体"/>
                <w:kern w:val="0"/>
                <w:sz w:val="20"/>
              </w:rPr>
            </w:pPr>
          </w:p>
        </w:tc>
        <w:tc>
          <w:tcPr>
            <w:tcW w:w="110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ascii="宋体" w:hAnsi="宋体" w:cs="宋体"/>
                <w:kern w:val="0"/>
                <w:sz w:val="20"/>
              </w:rPr>
            </w:pPr>
          </w:p>
        </w:tc>
        <w:tc>
          <w:tcPr>
            <w:tcW w:w="1245" w:type="dxa"/>
            <w:shd w:val="clear" w:color="auto" w:fill="FFFFFF"/>
            <w:noWrap/>
            <w:vAlign w:val="center"/>
          </w:tcPr>
          <w:p>
            <w:pPr>
              <w:widowControl/>
              <w:jc w:val="center"/>
              <w:rPr>
                <w:rFonts w:ascii="宋体" w:hAnsi="宋体" w:cs="宋体"/>
                <w:kern w:val="0"/>
                <w:sz w:val="20"/>
              </w:rPr>
            </w:pPr>
          </w:p>
        </w:tc>
        <w:tc>
          <w:tcPr>
            <w:tcW w:w="209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（四）公共安全支出</w:t>
            </w:r>
          </w:p>
        </w:tc>
        <w:tc>
          <w:tcPr>
            <w:tcW w:w="1081" w:type="dxa"/>
            <w:shd w:val="clear" w:color="auto" w:fill="FFFFFF"/>
            <w:noWrap/>
            <w:vAlign w:val="center"/>
          </w:tcPr>
          <w:p>
            <w:pPr>
              <w:widowControl/>
              <w:jc w:val="center"/>
              <w:rPr>
                <w:rFonts w:ascii="宋体" w:hAnsi="宋体" w:cs="宋体"/>
                <w:kern w:val="0"/>
                <w:sz w:val="20"/>
              </w:rPr>
            </w:pPr>
          </w:p>
        </w:tc>
        <w:tc>
          <w:tcPr>
            <w:tcW w:w="1112" w:type="dxa"/>
            <w:shd w:val="clear" w:color="auto" w:fill="FFFFFF"/>
            <w:noWrap/>
            <w:vAlign w:val="center"/>
          </w:tcPr>
          <w:p>
            <w:pPr>
              <w:widowControl/>
              <w:jc w:val="center"/>
              <w:rPr>
                <w:rFonts w:ascii="宋体" w:hAnsi="宋体" w:cs="宋体"/>
                <w:kern w:val="0"/>
                <w:sz w:val="20"/>
              </w:rPr>
            </w:pPr>
          </w:p>
        </w:tc>
        <w:tc>
          <w:tcPr>
            <w:tcW w:w="110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ascii="宋体" w:hAnsi="宋体" w:cs="宋体"/>
                <w:kern w:val="0"/>
                <w:sz w:val="20"/>
              </w:rPr>
            </w:pPr>
          </w:p>
        </w:tc>
        <w:tc>
          <w:tcPr>
            <w:tcW w:w="1245" w:type="dxa"/>
            <w:shd w:val="clear" w:color="auto" w:fill="FFFFFF"/>
            <w:noWrap/>
            <w:vAlign w:val="center"/>
          </w:tcPr>
          <w:p>
            <w:pPr>
              <w:widowControl/>
              <w:jc w:val="center"/>
              <w:rPr>
                <w:rFonts w:ascii="宋体" w:hAnsi="宋体" w:cs="宋体"/>
                <w:kern w:val="0"/>
                <w:sz w:val="20"/>
              </w:rPr>
            </w:pPr>
          </w:p>
        </w:tc>
        <w:tc>
          <w:tcPr>
            <w:tcW w:w="209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（五）教育支出</w:t>
            </w:r>
          </w:p>
        </w:tc>
        <w:tc>
          <w:tcPr>
            <w:tcW w:w="1081" w:type="dxa"/>
            <w:shd w:val="clear" w:color="auto" w:fill="FFFFFF"/>
            <w:noWrap/>
            <w:vAlign w:val="center"/>
          </w:tcPr>
          <w:p>
            <w:pPr>
              <w:widowControl/>
              <w:jc w:val="center"/>
              <w:rPr>
                <w:rFonts w:ascii="宋体" w:hAnsi="宋体" w:cs="宋体"/>
                <w:kern w:val="0"/>
                <w:sz w:val="20"/>
              </w:rPr>
            </w:pPr>
          </w:p>
        </w:tc>
        <w:tc>
          <w:tcPr>
            <w:tcW w:w="1112" w:type="dxa"/>
            <w:shd w:val="clear" w:color="auto" w:fill="FFFFFF"/>
            <w:noWrap/>
            <w:vAlign w:val="center"/>
          </w:tcPr>
          <w:p>
            <w:pPr>
              <w:widowControl/>
              <w:jc w:val="center"/>
              <w:rPr>
                <w:rFonts w:ascii="宋体" w:hAnsi="宋体" w:cs="宋体"/>
                <w:kern w:val="0"/>
                <w:sz w:val="20"/>
              </w:rPr>
            </w:pPr>
          </w:p>
        </w:tc>
        <w:tc>
          <w:tcPr>
            <w:tcW w:w="110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ascii="宋体" w:hAnsi="宋体" w:cs="宋体"/>
                <w:kern w:val="0"/>
                <w:sz w:val="20"/>
              </w:rPr>
            </w:pPr>
          </w:p>
        </w:tc>
        <w:tc>
          <w:tcPr>
            <w:tcW w:w="1245" w:type="dxa"/>
            <w:shd w:val="clear" w:color="auto" w:fill="FFFFFF"/>
            <w:noWrap/>
            <w:vAlign w:val="center"/>
          </w:tcPr>
          <w:p>
            <w:pPr>
              <w:widowControl/>
              <w:jc w:val="center"/>
              <w:rPr>
                <w:rFonts w:ascii="宋体" w:hAnsi="宋体" w:cs="宋体"/>
                <w:kern w:val="0"/>
                <w:sz w:val="20"/>
              </w:rPr>
            </w:pPr>
          </w:p>
        </w:tc>
        <w:tc>
          <w:tcPr>
            <w:tcW w:w="209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（六）科学技术支出</w:t>
            </w:r>
          </w:p>
        </w:tc>
        <w:tc>
          <w:tcPr>
            <w:tcW w:w="1081" w:type="dxa"/>
            <w:shd w:val="clear" w:color="auto" w:fill="FFFFFF"/>
            <w:noWrap/>
            <w:vAlign w:val="center"/>
          </w:tcPr>
          <w:p>
            <w:pPr>
              <w:widowControl/>
              <w:jc w:val="center"/>
              <w:rPr>
                <w:rFonts w:ascii="宋体" w:hAnsi="宋体" w:cs="宋体"/>
                <w:kern w:val="0"/>
                <w:sz w:val="20"/>
              </w:rPr>
            </w:pPr>
          </w:p>
        </w:tc>
        <w:tc>
          <w:tcPr>
            <w:tcW w:w="1112" w:type="dxa"/>
            <w:shd w:val="clear" w:color="auto" w:fill="FFFFFF"/>
            <w:noWrap/>
            <w:vAlign w:val="center"/>
          </w:tcPr>
          <w:p>
            <w:pPr>
              <w:widowControl/>
              <w:jc w:val="center"/>
              <w:rPr>
                <w:rFonts w:ascii="宋体" w:hAnsi="宋体" w:cs="宋体"/>
                <w:kern w:val="0"/>
                <w:sz w:val="20"/>
              </w:rPr>
            </w:pPr>
          </w:p>
        </w:tc>
        <w:tc>
          <w:tcPr>
            <w:tcW w:w="110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ascii="宋体" w:hAnsi="宋体" w:cs="宋体"/>
                <w:kern w:val="0"/>
                <w:sz w:val="20"/>
              </w:rPr>
            </w:pPr>
          </w:p>
        </w:tc>
        <w:tc>
          <w:tcPr>
            <w:tcW w:w="1245" w:type="dxa"/>
            <w:shd w:val="clear" w:color="auto" w:fill="FFFFFF"/>
            <w:noWrap/>
            <w:vAlign w:val="center"/>
          </w:tcPr>
          <w:p>
            <w:pPr>
              <w:widowControl/>
              <w:jc w:val="center"/>
              <w:rPr>
                <w:rFonts w:ascii="宋体" w:hAnsi="宋体" w:cs="宋体"/>
                <w:kern w:val="0"/>
                <w:sz w:val="20"/>
              </w:rPr>
            </w:pPr>
          </w:p>
        </w:tc>
        <w:tc>
          <w:tcPr>
            <w:tcW w:w="209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（七）文化旅游体育与传媒支出</w:t>
            </w:r>
          </w:p>
        </w:tc>
        <w:tc>
          <w:tcPr>
            <w:tcW w:w="1081" w:type="dxa"/>
            <w:shd w:val="clear" w:color="auto" w:fill="FFFFFF"/>
            <w:noWrap/>
            <w:vAlign w:val="center"/>
          </w:tcPr>
          <w:p>
            <w:pPr>
              <w:widowControl/>
              <w:jc w:val="center"/>
              <w:rPr>
                <w:rFonts w:ascii="宋体" w:hAnsi="宋体" w:cs="宋体"/>
                <w:kern w:val="0"/>
                <w:sz w:val="20"/>
              </w:rPr>
            </w:pPr>
          </w:p>
        </w:tc>
        <w:tc>
          <w:tcPr>
            <w:tcW w:w="1112" w:type="dxa"/>
            <w:shd w:val="clear" w:color="auto" w:fill="FFFFFF"/>
            <w:noWrap/>
            <w:vAlign w:val="center"/>
          </w:tcPr>
          <w:p>
            <w:pPr>
              <w:widowControl/>
              <w:jc w:val="center"/>
              <w:rPr>
                <w:rFonts w:ascii="宋体" w:hAnsi="宋体" w:cs="宋体"/>
                <w:kern w:val="0"/>
                <w:sz w:val="20"/>
              </w:rPr>
            </w:pPr>
          </w:p>
        </w:tc>
        <w:tc>
          <w:tcPr>
            <w:tcW w:w="110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ascii="宋体" w:hAnsi="宋体" w:cs="宋体"/>
                <w:kern w:val="0"/>
                <w:sz w:val="20"/>
              </w:rPr>
            </w:pPr>
          </w:p>
        </w:tc>
        <w:tc>
          <w:tcPr>
            <w:tcW w:w="1245" w:type="dxa"/>
            <w:shd w:val="clear" w:color="auto" w:fill="FFFFFF"/>
            <w:noWrap/>
            <w:vAlign w:val="center"/>
          </w:tcPr>
          <w:p>
            <w:pPr>
              <w:widowControl/>
              <w:jc w:val="center"/>
              <w:rPr>
                <w:rFonts w:ascii="宋体" w:hAnsi="宋体" w:cs="宋体"/>
                <w:kern w:val="0"/>
                <w:sz w:val="20"/>
              </w:rPr>
            </w:pPr>
          </w:p>
        </w:tc>
        <w:tc>
          <w:tcPr>
            <w:tcW w:w="209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（八）社会保障和就业支出</w:t>
            </w:r>
          </w:p>
        </w:tc>
        <w:tc>
          <w:tcPr>
            <w:tcW w:w="1081"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33.16</w:t>
            </w:r>
          </w:p>
        </w:tc>
        <w:tc>
          <w:tcPr>
            <w:tcW w:w="111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33.16</w:t>
            </w:r>
          </w:p>
        </w:tc>
        <w:tc>
          <w:tcPr>
            <w:tcW w:w="110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ascii="宋体" w:hAnsi="宋体" w:cs="宋体"/>
                <w:kern w:val="0"/>
                <w:sz w:val="20"/>
              </w:rPr>
            </w:pPr>
          </w:p>
        </w:tc>
        <w:tc>
          <w:tcPr>
            <w:tcW w:w="1245" w:type="dxa"/>
            <w:shd w:val="clear" w:color="auto" w:fill="FFFFFF"/>
            <w:noWrap/>
            <w:vAlign w:val="center"/>
          </w:tcPr>
          <w:p>
            <w:pPr>
              <w:widowControl/>
              <w:jc w:val="center"/>
              <w:rPr>
                <w:rFonts w:ascii="宋体" w:hAnsi="宋体" w:cs="宋体"/>
                <w:kern w:val="0"/>
                <w:sz w:val="20"/>
              </w:rPr>
            </w:pPr>
          </w:p>
        </w:tc>
        <w:tc>
          <w:tcPr>
            <w:tcW w:w="209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（九）社会保险基金支出</w:t>
            </w:r>
          </w:p>
        </w:tc>
        <w:tc>
          <w:tcPr>
            <w:tcW w:w="1081" w:type="dxa"/>
            <w:shd w:val="clear" w:color="auto" w:fill="FFFFFF"/>
            <w:noWrap/>
            <w:vAlign w:val="center"/>
          </w:tcPr>
          <w:p>
            <w:pPr>
              <w:widowControl/>
              <w:jc w:val="center"/>
              <w:rPr>
                <w:rFonts w:ascii="宋体" w:hAnsi="宋体" w:cs="宋体"/>
                <w:kern w:val="0"/>
                <w:sz w:val="20"/>
              </w:rPr>
            </w:pPr>
          </w:p>
        </w:tc>
        <w:tc>
          <w:tcPr>
            <w:tcW w:w="1112" w:type="dxa"/>
            <w:shd w:val="clear" w:color="auto" w:fill="FFFFFF"/>
            <w:noWrap/>
            <w:vAlign w:val="center"/>
          </w:tcPr>
          <w:p>
            <w:pPr>
              <w:widowControl/>
              <w:jc w:val="center"/>
              <w:rPr>
                <w:rFonts w:ascii="宋体" w:hAnsi="宋体" w:cs="宋体"/>
                <w:kern w:val="0"/>
                <w:sz w:val="20"/>
              </w:rPr>
            </w:pPr>
          </w:p>
        </w:tc>
        <w:tc>
          <w:tcPr>
            <w:tcW w:w="110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ascii="宋体" w:hAnsi="宋体" w:cs="宋体"/>
                <w:kern w:val="0"/>
                <w:sz w:val="20"/>
              </w:rPr>
            </w:pPr>
          </w:p>
        </w:tc>
        <w:tc>
          <w:tcPr>
            <w:tcW w:w="1245" w:type="dxa"/>
            <w:shd w:val="clear" w:color="auto" w:fill="FFFFFF"/>
            <w:noWrap/>
            <w:vAlign w:val="center"/>
          </w:tcPr>
          <w:p>
            <w:pPr>
              <w:widowControl/>
              <w:jc w:val="center"/>
              <w:rPr>
                <w:rFonts w:ascii="宋体" w:hAnsi="宋体" w:cs="宋体"/>
                <w:kern w:val="0"/>
                <w:sz w:val="20"/>
              </w:rPr>
            </w:pPr>
          </w:p>
        </w:tc>
        <w:tc>
          <w:tcPr>
            <w:tcW w:w="209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（十）卫生健康支出</w:t>
            </w:r>
          </w:p>
        </w:tc>
        <w:tc>
          <w:tcPr>
            <w:tcW w:w="1081"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15.29</w:t>
            </w:r>
          </w:p>
        </w:tc>
        <w:tc>
          <w:tcPr>
            <w:tcW w:w="111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15.29</w:t>
            </w:r>
          </w:p>
        </w:tc>
        <w:tc>
          <w:tcPr>
            <w:tcW w:w="110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ascii="宋体" w:hAnsi="宋体" w:cs="宋体"/>
                <w:kern w:val="0"/>
                <w:sz w:val="20"/>
              </w:rPr>
            </w:pPr>
          </w:p>
        </w:tc>
        <w:tc>
          <w:tcPr>
            <w:tcW w:w="1245" w:type="dxa"/>
            <w:shd w:val="clear" w:color="auto" w:fill="FFFFFF"/>
            <w:noWrap/>
            <w:vAlign w:val="center"/>
          </w:tcPr>
          <w:p>
            <w:pPr>
              <w:widowControl/>
              <w:jc w:val="center"/>
              <w:rPr>
                <w:rFonts w:ascii="宋体" w:hAnsi="宋体" w:cs="宋体"/>
                <w:kern w:val="0"/>
                <w:sz w:val="20"/>
              </w:rPr>
            </w:pPr>
          </w:p>
        </w:tc>
        <w:tc>
          <w:tcPr>
            <w:tcW w:w="209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（十一）节能环保支出</w:t>
            </w:r>
          </w:p>
        </w:tc>
        <w:tc>
          <w:tcPr>
            <w:tcW w:w="1081" w:type="dxa"/>
            <w:shd w:val="clear" w:color="auto" w:fill="FFFFFF"/>
            <w:noWrap/>
            <w:vAlign w:val="center"/>
          </w:tcPr>
          <w:p>
            <w:pPr>
              <w:widowControl/>
              <w:jc w:val="center"/>
              <w:rPr>
                <w:rFonts w:ascii="宋体" w:hAnsi="宋体" w:cs="宋体"/>
                <w:kern w:val="0"/>
                <w:sz w:val="20"/>
              </w:rPr>
            </w:pPr>
          </w:p>
        </w:tc>
        <w:tc>
          <w:tcPr>
            <w:tcW w:w="1112" w:type="dxa"/>
            <w:shd w:val="clear" w:color="auto" w:fill="FFFFFF"/>
            <w:noWrap/>
            <w:vAlign w:val="center"/>
          </w:tcPr>
          <w:p>
            <w:pPr>
              <w:widowControl/>
              <w:jc w:val="center"/>
              <w:rPr>
                <w:rFonts w:ascii="宋体" w:hAnsi="宋体" w:cs="宋体"/>
                <w:kern w:val="0"/>
                <w:sz w:val="20"/>
              </w:rPr>
            </w:pPr>
          </w:p>
        </w:tc>
        <w:tc>
          <w:tcPr>
            <w:tcW w:w="110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ascii="宋体" w:hAnsi="宋体" w:cs="宋体"/>
                <w:kern w:val="0"/>
                <w:sz w:val="20"/>
              </w:rPr>
            </w:pPr>
          </w:p>
        </w:tc>
        <w:tc>
          <w:tcPr>
            <w:tcW w:w="1245" w:type="dxa"/>
            <w:shd w:val="clear" w:color="auto" w:fill="FFFFFF"/>
            <w:noWrap/>
            <w:vAlign w:val="center"/>
          </w:tcPr>
          <w:p>
            <w:pPr>
              <w:widowControl/>
              <w:jc w:val="center"/>
              <w:rPr>
                <w:rFonts w:ascii="宋体" w:hAnsi="宋体" w:cs="宋体"/>
                <w:kern w:val="0"/>
                <w:sz w:val="20"/>
              </w:rPr>
            </w:pPr>
          </w:p>
        </w:tc>
        <w:tc>
          <w:tcPr>
            <w:tcW w:w="209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（十二）城乡社区支出</w:t>
            </w:r>
          </w:p>
        </w:tc>
        <w:tc>
          <w:tcPr>
            <w:tcW w:w="1081" w:type="dxa"/>
            <w:shd w:val="clear" w:color="auto" w:fill="FFFFFF"/>
            <w:noWrap/>
            <w:vAlign w:val="center"/>
          </w:tcPr>
          <w:p>
            <w:pPr>
              <w:widowControl/>
              <w:jc w:val="center"/>
              <w:rPr>
                <w:rFonts w:ascii="宋体" w:hAnsi="宋体" w:cs="宋体"/>
                <w:kern w:val="0"/>
                <w:sz w:val="20"/>
              </w:rPr>
            </w:pPr>
          </w:p>
        </w:tc>
        <w:tc>
          <w:tcPr>
            <w:tcW w:w="1112" w:type="dxa"/>
            <w:shd w:val="clear" w:color="auto" w:fill="FFFFFF"/>
            <w:noWrap/>
            <w:vAlign w:val="center"/>
          </w:tcPr>
          <w:p>
            <w:pPr>
              <w:widowControl/>
              <w:jc w:val="center"/>
              <w:rPr>
                <w:rFonts w:ascii="宋体" w:hAnsi="宋体" w:cs="宋体"/>
                <w:kern w:val="0"/>
                <w:sz w:val="20"/>
              </w:rPr>
            </w:pPr>
          </w:p>
        </w:tc>
        <w:tc>
          <w:tcPr>
            <w:tcW w:w="110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ascii="宋体" w:hAnsi="宋体" w:cs="宋体"/>
                <w:kern w:val="0"/>
                <w:sz w:val="20"/>
              </w:rPr>
            </w:pPr>
          </w:p>
        </w:tc>
        <w:tc>
          <w:tcPr>
            <w:tcW w:w="1245" w:type="dxa"/>
            <w:shd w:val="clear" w:color="auto" w:fill="FFFFFF"/>
            <w:noWrap/>
            <w:vAlign w:val="center"/>
          </w:tcPr>
          <w:p>
            <w:pPr>
              <w:widowControl/>
              <w:jc w:val="center"/>
              <w:rPr>
                <w:rFonts w:ascii="宋体" w:hAnsi="宋体" w:cs="宋体"/>
                <w:kern w:val="0"/>
                <w:sz w:val="20"/>
              </w:rPr>
            </w:pPr>
          </w:p>
        </w:tc>
        <w:tc>
          <w:tcPr>
            <w:tcW w:w="209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（十三）农林水支出</w:t>
            </w:r>
          </w:p>
        </w:tc>
        <w:tc>
          <w:tcPr>
            <w:tcW w:w="1081"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409.61</w:t>
            </w:r>
          </w:p>
        </w:tc>
        <w:tc>
          <w:tcPr>
            <w:tcW w:w="111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409.61</w:t>
            </w:r>
          </w:p>
        </w:tc>
        <w:tc>
          <w:tcPr>
            <w:tcW w:w="110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ascii="宋体" w:hAnsi="宋体" w:cs="宋体"/>
                <w:kern w:val="0"/>
                <w:sz w:val="20"/>
              </w:rPr>
            </w:pPr>
          </w:p>
        </w:tc>
        <w:tc>
          <w:tcPr>
            <w:tcW w:w="1245" w:type="dxa"/>
            <w:shd w:val="clear" w:color="auto" w:fill="FFFFFF"/>
            <w:noWrap/>
            <w:vAlign w:val="center"/>
          </w:tcPr>
          <w:p>
            <w:pPr>
              <w:widowControl/>
              <w:jc w:val="center"/>
              <w:rPr>
                <w:rFonts w:ascii="宋体" w:hAnsi="宋体" w:cs="宋体"/>
                <w:kern w:val="0"/>
                <w:sz w:val="20"/>
              </w:rPr>
            </w:pPr>
          </w:p>
        </w:tc>
        <w:tc>
          <w:tcPr>
            <w:tcW w:w="209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（十四）交通运输支出</w:t>
            </w:r>
          </w:p>
        </w:tc>
        <w:tc>
          <w:tcPr>
            <w:tcW w:w="1081"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5570.21</w:t>
            </w:r>
          </w:p>
        </w:tc>
        <w:tc>
          <w:tcPr>
            <w:tcW w:w="111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5570.21</w:t>
            </w:r>
          </w:p>
        </w:tc>
        <w:tc>
          <w:tcPr>
            <w:tcW w:w="110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ascii="宋体" w:hAnsi="宋体" w:cs="宋体"/>
                <w:kern w:val="0"/>
                <w:sz w:val="20"/>
              </w:rPr>
            </w:pPr>
          </w:p>
        </w:tc>
        <w:tc>
          <w:tcPr>
            <w:tcW w:w="1245" w:type="dxa"/>
            <w:shd w:val="clear" w:color="auto" w:fill="FFFFFF"/>
            <w:noWrap/>
            <w:vAlign w:val="center"/>
          </w:tcPr>
          <w:p>
            <w:pPr>
              <w:widowControl/>
              <w:jc w:val="center"/>
              <w:rPr>
                <w:rFonts w:ascii="宋体" w:hAnsi="宋体" w:cs="宋体"/>
                <w:kern w:val="0"/>
                <w:sz w:val="20"/>
              </w:rPr>
            </w:pPr>
          </w:p>
        </w:tc>
        <w:tc>
          <w:tcPr>
            <w:tcW w:w="209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（十五）资源勘探工业信息等支出</w:t>
            </w:r>
          </w:p>
        </w:tc>
        <w:tc>
          <w:tcPr>
            <w:tcW w:w="1081" w:type="dxa"/>
            <w:shd w:val="clear" w:color="auto" w:fill="FFFFFF"/>
            <w:noWrap/>
            <w:vAlign w:val="center"/>
          </w:tcPr>
          <w:p>
            <w:pPr>
              <w:widowControl/>
              <w:jc w:val="center"/>
              <w:rPr>
                <w:rFonts w:ascii="宋体" w:hAnsi="宋体" w:cs="宋体"/>
                <w:kern w:val="0"/>
                <w:sz w:val="20"/>
              </w:rPr>
            </w:pPr>
          </w:p>
        </w:tc>
        <w:tc>
          <w:tcPr>
            <w:tcW w:w="1112" w:type="dxa"/>
            <w:shd w:val="clear" w:color="auto" w:fill="FFFFFF"/>
            <w:noWrap/>
            <w:vAlign w:val="center"/>
          </w:tcPr>
          <w:p>
            <w:pPr>
              <w:widowControl/>
              <w:jc w:val="center"/>
              <w:rPr>
                <w:rFonts w:ascii="宋体" w:hAnsi="宋体" w:cs="宋体"/>
                <w:kern w:val="0"/>
                <w:sz w:val="20"/>
              </w:rPr>
            </w:pPr>
          </w:p>
        </w:tc>
        <w:tc>
          <w:tcPr>
            <w:tcW w:w="110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ascii="宋体" w:hAnsi="宋体" w:cs="宋体"/>
                <w:kern w:val="0"/>
                <w:sz w:val="20"/>
              </w:rPr>
            </w:pPr>
          </w:p>
        </w:tc>
        <w:tc>
          <w:tcPr>
            <w:tcW w:w="1245" w:type="dxa"/>
            <w:shd w:val="clear" w:color="auto" w:fill="FFFFFF"/>
            <w:noWrap/>
            <w:vAlign w:val="center"/>
          </w:tcPr>
          <w:p>
            <w:pPr>
              <w:widowControl/>
              <w:jc w:val="center"/>
              <w:rPr>
                <w:rFonts w:ascii="宋体" w:hAnsi="宋体" w:cs="宋体"/>
                <w:kern w:val="0"/>
                <w:sz w:val="20"/>
              </w:rPr>
            </w:pPr>
          </w:p>
        </w:tc>
        <w:tc>
          <w:tcPr>
            <w:tcW w:w="209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（十六）商业服务业等支出</w:t>
            </w:r>
          </w:p>
        </w:tc>
        <w:tc>
          <w:tcPr>
            <w:tcW w:w="1081" w:type="dxa"/>
            <w:shd w:val="clear" w:color="auto" w:fill="FFFFFF"/>
            <w:noWrap/>
            <w:vAlign w:val="center"/>
          </w:tcPr>
          <w:p>
            <w:pPr>
              <w:widowControl/>
              <w:jc w:val="center"/>
              <w:rPr>
                <w:rFonts w:ascii="宋体" w:hAnsi="宋体" w:cs="宋体"/>
                <w:kern w:val="0"/>
                <w:sz w:val="20"/>
              </w:rPr>
            </w:pPr>
          </w:p>
        </w:tc>
        <w:tc>
          <w:tcPr>
            <w:tcW w:w="1112" w:type="dxa"/>
            <w:shd w:val="clear" w:color="auto" w:fill="FFFFFF"/>
            <w:noWrap/>
            <w:vAlign w:val="center"/>
          </w:tcPr>
          <w:p>
            <w:pPr>
              <w:widowControl/>
              <w:jc w:val="center"/>
              <w:rPr>
                <w:rFonts w:ascii="宋体" w:hAnsi="宋体" w:cs="宋体"/>
                <w:kern w:val="0"/>
                <w:sz w:val="20"/>
              </w:rPr>
            </w:pPr>
          </w:p>
        </w:tc>
        <w:tc>
          <w:tcPr>
            <w:tcW w:w="110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ascii="宋体" w:hAnsi="宋体" w:cs="宋体"/>
                <w:kern w:val="0"/>
                <w:sz w:val="20"/>
              </w:rPr>
            </w:pPr>
          </w:p>
        </w:tc>
        <w:tc>
          <w:tcPr>
            <w:tcW w:w="1245" w:type="dxa"/>
            <w:shd w:val="clear" w:color="auto" w:fill="FFFFFF"/>
            <w:noWrap/>
            <w:vAlign w:val="center"/>
          </w:tcPr>
          <w:p>
            <w:pPr>
              <w:widowControl/>
              <w:jc w:val="center"/>
              <w:rPr>
                <w:rFonts w:ascii="宋体" w:hAnsi="宋体" w:cs="宋体"/>
                <w:kern w:val="0"/>
                <w:sz w:val="20"/>
              </w:rPr>
            </w:pPr>
          </w:p>
        </w:tc>
        <w:tc>
          <w:tcPr>
            <w:tcW w:w="209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（十七）金融支出</w:t>
            </w:r>
          </w:p>
        </w:tc>
        <w:tc>
          <w:tcPr>
            <w:tcW w:w="1081" w:type="dxa"/>
            <w:shd w:val="clear" w:color="auto" w:fill="FFFFFF"/>
            <w:noWrap/>
            <w:vAlign w:val="center"/>
          </w:tcPr>
          <w:p>
            <w:pPr>
              <w:widowControl/>
              <w:jc w:val="center"/>
              <w:rPr>
                <w:rFonts w:ascii="宋体" w:hAnsi="宋体" w:cs="宋体"/>
                <w:kern w:val="0"/>
                <w:sz w:val="20"/>
              </w:rPr>
            </w:pPr>
          </w:p>
        </w:tc>
        <w:tc>
          <w:tcPr>
            <w:tcW w:w="1112" w:type="dxa"/>
            <w:shd w:val="clear" w:color="auto" w:fill="FFFFFF"/>
            <w:noWrap/>
            <w:vAlign w:val="center"/>
          </w:tcPr>
          <w:p>
            <w:pPr>
              <w:widowControl/>
              <w:jc w:val="center"/>
              <w:rPr>
                <w:rFonts w:ascii="宋体" w:hAnsi="宋体" w:cs="宋体"/>
                <w:kern w:val="0"/>
                <w:sz w:val="20"/>
              </w:rPr>
            </w:pPr>
          </w:p>
        </w:tc>
        <w:tc>
          <w:tcPr>
            <w:tcW w:w="110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ascii="宋体" w:hAnsi="宋体" w:cs="宋体"/>
                <w:kern w:val="0"/>
                <w:sz w:val="20"/>
              </w:rPr>
            </w:pPr>
          </w:p>
        </w:tc>
        <w:tc>
          <w:tcPr>
            <w:tcW w:w="1245" w:type="dxa"/>
            <w:shd w:val="clear" w:color="auto" w:fill="FFFFFF"/>
            <w:noWrap/>
            <w:vAlign w:val="center"/>
          </w:tcPr>
          <w:p>
            <w:pPr>
              <w:widowControl/>
              <w:jc w:val="center"/>
              <w:rPr>
                <w:rFonts w:ascii="宋体" w:hAnsi="宋体" w:cs="宋体"/>
                <w:kern w:val="0"/>
                <w:sz w:val="20"/>
              </w:rPr>
            </w:pPr>
          </w:p>
        </w:tc>
        <w:tc>
          <w:tcPr>
            <w:tcW w:w="209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（十八）援助其他地区支出</w:t>
            </w:r>
          </w:p>
        </w:tc>
        <w:tc>
          <w:tcPr>
            <w:tcW w:w="1081" w:type="dxa"/>
            <w:shd w:val="clear" w:color="auto" w:fill="FFFFFF"/>
            <w:noWrap/>
            <w:vAlign w:val="center"/>
          </w:tcPr>
          <w:p>
            <w:pPr>
              <w:widowControl/>
              <w:jc w:val="center"/>
              <w:rPr>
                <w:rFonts w:ascii="宋体" w:hAnsi="宋体" w:cs="宋体"/>
                <w:kern w:val="0"/>
                <w:sz w:val="20"/>
              </w:rPr>
            </w:pPr>
          </w:p>
        </w:tc>
        <w:tc>
          <w:tcPr>
            <w:tcW w:w="1112" w:type="dxa"/>
            <w:shd w:val="clear" w:color="auto" w:fill="FFFFFF"/>
            <w:noWrap/>
            <w:vAlign w:val="center"/>
          </w:tcPr>
          <w:p>
            <w:pPr>
              <w:widowControl/>
              <w:jc w:val="center"/>
              <w:rPr>
                <w:rFonts w:ascii="宋体" w:hAnsi="宋体" w:cs="宋体"/>
                <w:kern w:val="0"/>
                <w:sz w:val="20"/>
              </w:rPr>
            </w:pPr>
          </w:p>
        </w:tc>
        <w:tc>
          <w:tcPr>
            <w:tcW w:w="110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ascii="宋体" w:hAnsi="宋体" w:cs="宋体"/>
                <w:kern w:val="0"/>
                <w:sz w:val="20"/>
              </w:rPr>
            </w:pPr>
          </w:p>
        </w:tc>
        <w:tc>
          <w:tcPr>
            <w:tcW w:w="1245" w:type="dxa"/>
            <w:shd w:val="clear" w:color="auto" w:fill="FFFFFF"/>
            <w:noWrap/>
            <w:vAlign w:val="center"/>
          </w:tcPr>
          <w:p>
            <w:pPr>
              <w:widowControl/>
              <w:jc w:val="center"/>
              <w:rPr>
                <w:rFonts w:ascii="宋体" w:hAnsi="宋体" w:cs="宋体"/>
                <w:kern w:val="0"/>
                <w:sz w:val="20"/>
              </w:rPr>
            </w:pPr>
          </w:p>
        </w:tc>
        <w:tc>
          <w:tcPr>
            <w:tcW w:w="209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（十九）自然资源海洋气象等支出</w:t>
            </w:r>
          </w:p>
        </w:tc>
        <w:tc>
          <w:tcPr>
            <w:tcW w:w="1081" w:type="dxa"/>
            <w:shd w:val="clear" w:color="auto" w:fill="FFFFFF"/>
            <w:noWrap/>
            <w:vAlign w:val="center"/>
          </w:tcPr>
          <w:p>
            <w:pPr>
              <w:widowControl/>
              <w:jc w:val="center"/>
              <w:rPr>
                <w:rFonts w:ascii="宋体" w:hAnsi="宋体" w:cs="宋体"/>
                <w:kern w:val="0"/>
                <w:sz w:val="20"/>
              </w:rPr>
            </w:pPr>
          </w:p>
        </w:tc>
        <w:tc>
          <w:tcPr>
            <w:tcW w:w="1112" w:type="dxa"/>
            <w:shd w:val="clear" w:color="auto" w:fill="FFFFFF"/>
            <w:noWrap/>
            <w:vAlign w:val="center"/>
          </w:tcPr>
          <w:p>
            <w:pPr>
              <w:widowControl/>
              <w:jc w:val="center"/>
              <w:rPr>
                <w:rFonts w:ascii="宋体" w:hAnsi="宋体" w:cs="宋体"/>
                <w:kern w:val="0"/>
                <w:sz w:val="20"/>
              </w:rPr>
            </w:pPr>
          </w:p>
        </w:tc>
        <w:tc>
          <w:tcPr>
            <w:tcW w:w="110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ascii="宋体" w:hAnsi="宋体" w:cs="宋体"/>
                <w:kern w:val="0"/>
                <w:sz w:val="20"/>
              </w:rPr>
            </w:pPr>
          </w:p>
        </w:tc>
        <w:tc>
          <w:tcPr>
            <w:tcW w:w="1245" w:type="dxa"/>
            <w:shd w:val="clear" w:color="auto" w:fill="FFFFFF"/>
            <w:noWrap/>
            <w:vAlign w:val="center"/>
          </w:tcPr>
          <w:p>
            <w:pPr>
              <w:widowControl/>
              <w:jc w:val="center"/>
              <w:rPr>
                <w:rFonts w:ascii="宋体" w:hAnsi="宋体" w:cs="宋体"/>
                <w:kern w:val="0"/>
                <w:sz w:val="20"/>
              </w:rPr>
            </w:pPr>
          </w:p>
        </w:tc>
        <w:tc>
          <w:tcPr>
            <w:tcW w:w="209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（二十）住房保障支出</w:t>
            </w:r>
          </w:p>
        </w:tc>
        <w:tc>
          <w:tcPr>
            <w:tcW w:w="1081"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8.73</w:t>
            </w:r>
          </w:p>
        </w:tc>
        <w:tc>
          <w:tcPr>
            <w:tcW w:w="111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8.73</w:t>
            </w:r>
          </w:p>
        </w:tc>
        <w:tc>
          <w:tcPr>
            <w:tcW w:w="110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ascii="宋体" w:hAnsi="宋体" w:cs="宋体"/>
                <w:kern w:val="0"/>
                <w:sz w:val="20"/>
              </w:rPr>
            </w:pPr>
          </w:p>
        </w:tc>
        <w:tc>
          <w:tcPr>
            <w:tcW w:w="1245" w:type="dxa"/>
            <w:shd w:val="clear" w:color="auto" w:fill="FFFFFF"/>
            <w:noWrap/>
            <w:vAlign w:val="center"/>
          </w:tcPr>
          <w:p>
            <w:pPr>
              <w:widowControl/>
              <w:jc w:val="center"/>
              <w:rPr>
                <w:rFonts w:ascii="宋体" w:hAnsi="宋体" w:cs="宋体"/>
                <w:kern w:val="0"/>
                <w:sz w:val="20"/>
              </w:rPr>
            </w:pPr>
          </w:p>
        </w:tc>
        <w:tc>
          <w:tcPr>
            <w:tcW w:w="209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（二十一）粮油物资储备支出</w:t>
            </w:r>
          </w:p>
        </w:tc>
        <w:tc>
          <w:tcPr>
            <w:tcW w:w="1081" w:type="dxa"/>
            <w:shd w:val="clear" w:color="auto" w:fill="FFFFFF"/>
            <w:noWrap/>
            <w:vAlign w:val="center"/>
          </w:tcPr>
          <w:p>
            <w:pPr>
              <w:widowControl/>
              <w:jc w:val="center"/>
              <w:rPr>
                <w:rFonts w:ascii="宋体" w:hAnsi="宋体" w:cs="宋体"/>
                <w:kern w:val="0"/>
                <w:sz w:val="20"/>
              </w:rPr>
            </w:pPr>
          </w:p>
        </w:tc>
        <w:tc>
          <w:tcPr>
            <w:tcW w:w="1112" w:type="dxa"/>
            <w:shd w:val="clear" w:color="auto" w:fill="FFFFFF"/>
            <w:noWrap/>
            <w:vAlign w:val="center"/>
          </w:tcPr>
          <w:p>
            <w:pPr>
              <w:widowControl/>
              <w:jc w:val="center"/>
              <w:rPr>
                <w:rFonts w:ascii="宋体" w:hAnsi="宋体" w:cs="宋体"/>
                <w:kern w:val="0"/>
                <w:sz w:val="20"/>
              </w:rPr>
            </w:pPr>
          </w:p>
        </w:tc>
        <w:tc>
          <w:tcPr>
            <w:tcW w:w="110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ascii="宋体" w:hAnsi="宋体" w:cs="宋体"/>
                <w:kern w:val="0"/>
                <w:sz w:val="20"/>
              </w:rPr>
            </w:pPr>
          </w:p>
        </w:tc>
        <w:tc>
          <w:tcPr>
            <w:tcW w:w="1245" w:type="dxa"/>
            <w:shd w:val="clear" w:color="auto" w:fill="FFFFFF"/>
            <w:noWrap/>
            <w:vAlign w:val="center"/>
          </w:tcPr>
          <w:p>
            <w:pPr>
              <w:widowControl/>
              <w:jc w:val="center"/>
              <w:rPr>
                <w:rFonts w:ascii="宋体" w:hAnsi="宋体" w:cs="宋体"/>
                <w:kern w:val="0"/>
                <w:sz w:val="20"/>
              </w:rPr>
            </w:pPr>
          </w:p>
        </w:tc>
        <w:tc>
          <w:tcPr>
            <w:tcW w:w="209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（二十二）国有资本经营预算支出</w:t>
            </w:r>
          </w:p>
        </w:tc>
        <w:tc>
          <w:tcPr>
            <w:tcW w:w="1081" w:type="dxa"/>
            <w:shd w:val="clear" w:color="auto" w:fill="FFFFFF"/>
            <w:noWrap/>
            <w:vAlign w:val="center"/>
          </w:tcPr>
          <w:p>
            <w:pPr>
              <w:widowControl/>
              <w:jc w:val="center"/>
              <w:rPr>
                <w:rFonts w:ascii="宋体" w:hAnsi="宋体" w:cs="宋体"/>
                <w:kern w:val="0"/>
                <w:sz w:val="20"/>
              </w:rPr>
            </w:pPr>
          </w:p>
        </w:tc>
        <w:tc>
          <w:tcPr>
            <w:tcW w:w="1112" w:type="dxa"/>
            <w:shd w:val="clear" w:color="auto" w:fill="FFFFFF"/>
            <w:noWrap/>
            <w:vAlign w:val="center"/>
          </w:tcPr>
          <w:p>
            <w:pPr>
              <w:widowControl/>
              <w:jc w:val="center"/>
              <w:rPr>
                <w:rFonts w:ascii="宋体" w:hAnsi="宋体" w:cs="宋体"/>
                <w:kern w:val="0"/>
                <w:sz w:val="20"/>
              </w:rPr>
            </w:pPr>
          </w:p>
        </w:tc>
        <w:tc>
          <w:tcPr>
            <w:tcW w:w="110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ascii="宋体" w:hAnsi="宋体" w:cs="宋体"/>
                <w:kern w:val="0"/>
                <w:sz w:val="20"/>
              </w:rPr>
            </w:pPr>
          </w:p>
        </w:tc>
        <w:tc>
          <w:tcPr>
            <w:tcW w:w="1245" w:type="dxa"/>
            <w:shd w:val="clear" w:color="auto" w:fill="FFFFFF"/>
            <w:noWrap/>
            <w:vAlign w:val="center"/>
          </w:tcPr>
          <w:p>
            <w:pPr>
              <w:widowControl/>
              <w:jc w:val="center"/>
              <w:rPr>
                <w:rFonts w:ascii="宋体" w:hAnsi="宋体" w:cs="宋体"/>
                <w:kern w:val="0"/>
                <w:sz w:val="20"/>
              </w:rPr>
            </w:pPr>
          </w:p>
        </w:tc>
        <w:tc>
          <w:tcPr>
            <w:tcW w:w="209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（二十三）灾害防治及应急管理支出</w:t>
            </w:r>
          </w:p>
        </w:tc>
        <w:tc>
          <w:tcPr>
            <w:tcW w:w="1081" w:type="dxa"/>
            <w:shd w:val="clear" w:color="auto" w:fill="FFFFFF"/>
            <w:noWrap/>
            <w:vAlign w:val="center"/>
          </w:tcPr>
          <w:p>
            <w:pPr>
              <w:widowControl/>
              <w:jc w:val="center"/>
              <w:rPr>
                <w:rFonts w:ascii="宋体" w:hAnsi="宋体" w:cs="宋体"/>
                <w:kern w:val="0"/>
                <w:sz w:val="20"/>
              </w:rPr>
            </w:pPr>
          </w:p>
        </w:tc>
        <w:tc>
          <w:tcPr>
            <w:tcW w:w="1112" w:type="dxa"/>
            <w:shd w:val="clear" w:color="auto" w:fill="FFFFFF"/>
            <w:noWrap/>
            <w:vAlign w:val="center"/>
          </w:tcPr>
          <w:p>
            <w:pPr>
              <w:widowControl/>
              <w:jc w:val="center"/>
              <w:rPr>
                <w:rFonts w:ascii="宋体" w:hAnsi="宋体" w:cs="宋体"/>
                <w:kern w:val="0"/>
                <w:sz w:val="20"/>
              </w:rPr>
            </w:pPr>
          </w:p>
        </w:tc>
        <w:tc>
          <w:tcPr>
            <w:tcW w:w="110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ascii="宋体" w:hAnsi="宋体" w:cs="宋体"/>
                <w:kern w:val="0"/>
                <w:sz w:val="20"/>
              </w:rPr>
            </w:pPr>
          </w:p>
        </w:tc>
        <w:tc>
          <w:tcPr>
            <w:tcW w:w="1245" w:type="dxa"/>
            <w:shd w:val="clear" w:color="auto" w:fill="FFFFFF"/>
            <w:noWrap/>
            <w:vAlign w:val="center"/>
          </w:tcPr>
          <w:p>
            <w:pPr>
              <w:widowControl/>
              <w:jc w:val="center"/>
              <w:rPr>
                <w:rFonts w:ascii="宋体" w:hAnsi="宋体" w:cs="宋体"/>
                <w:kern w:val="0"/>
                <w:sz w:val="20"/>
              </w:rPr>
            </w:pPr>
          </w:p>
        </w:tc>
        <w:tc>
          <w:tcPr>
            <w:tcW w:w="209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（二十四）预备费</w:t>
            </w:r>
          </w:p>
        </w:tc>
        <w:tc>
          <w:tcPr>
            <w:tcW w:w="1081" w:type="dxa"/>
            <w:shd w:val="clear" w:color="auto" w:fill="FFFFFF"/>
            <w:noWrap/>
            <w:vAlign w:val="center"/>
          </w:tcPr>
          <w:p>
            <w:pPr>
              <w:widowControl/>
              <w:jc w:val="center"/>
              <w:rPr>
                <w:rFonts w:ascii="宋体" w:hAnsi="宋体" w:cs="宋体"/>
                <w:kern w:val="0"/>
                <w:sz w:val="20"/>
              </w:rPr>
            </w:pPr>
          </w:p>
        </w:tc>
        <w:tc>
          <w:tcPr>
            <w:tcW w:w="1112" w:type="dxa"/>
            <w:shd w:val="clear" w:color="auto" w:fill="FFFFFF"/>
            <w:noWrap/>
            <w:vAlign w:val="center"/>
          </w:tcPr>
          <w:p>
            <w:pPr>
              <w:widowControl/>
              <w:jc w:val="center"/>
              <w:rPr>
                <w:rFonts w:ascii="宋体" w:hAnsi="宋体" w:cs="宋体"/>
                <w:kern w:val="0"/>
                <w:sz w:val="20"/>
              </w:rPr>
            </w:pPr>
          </w:p>
        </w:tc>
        <w:tc>
          <w:tcPr>
            <w:tcW w:w="110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ascii="宋体" w:hAnsi="宋体" w:cs="宋体"/>
                <w:kern w:val="0"/>
                <w:sz w:val="20"/>
              </w:rPr>
            </w:pPr>
          </w:p>
        </w:tc>
        <w:tc>
          <w:tcPr>
            <w:tcW w:w="1245" w:type="dxa"/>
            <w:shd w:val="clear" w:color="auto" w:fill="FFFFFF"/>
            <w:noWrap/>
            <w:vAlign w:val="center"/>
          </w:tcPr>
          <w:p>
            <w:pPr>
              <w:widowControl/>
              <w:jc w:val="center"/>
              <w:rPr>
                <w:rFonts w:ascii="宋体" w:hAnsi="宋体" w:cs="宋体"/>
                <w:kern w:val="0"/>
                <w:sz w:val="20"/>
              </w:rPr>
            </w:pPr>
          </w:p>
        </w:tc>
        <w:tc>
          <w:tcPr>
            <w:tcW w:w="209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（二十五）其他支出</w:t>
            </w:r>
          </w:p>
        </w:tc>
        <w:tc>
          <w:tcPr>
            <w:tcW w:w="1081" w:type="dxa"/>
            <w:shd w:val="clear" w:color="auto" w:fill="FFFFFF"/>
            <w:noWrap/>
            <w:vAlign w:val="center"/>
          </w:tcPr>
          <w:p>
            <w:pPr>
              <w:widowControl/>
              <w:jc w:val="center"/>
              <w:rPr>
                <w:rFonts w:ascii="宋体" w:hAnsi="宋体" w:cs="宋体"/>
                <w:kern w:val="0"/>
                <w:sz w:val="20"/>
              </w:rPr>
            </w:pPr>
          </w:p>
        </w:tc>
        <w:tc>
          <w:tcPr>
            <w:tcW w:w="1112" w:type="dxa"/>
            <w:shd w:val="clear" w:color="auto" w:fill="FFFFFF"/>
            <w:noWrap/>
            <w:vAlign w:val="center"/>
          </w:tcPr>
          <w:p>
            <w:pPr>
              <w:widowControl/>
              <w:jc w:val="center"/>
              <w:rPr>
                <w:rFonts w:ascii="宋体" w:hAnsi="宋体" w:cs="宋体"/>
                <w:kern w:val="0"/>
                <w:sz w:val="20"/>
              </w:rPr>
            </w:pPr>
          </w:p>
        </w:tc>
        <w:tc>
          <w:tcPr>
            <w:tcW w:w="110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ascii="宋体" w:hAnsi="宋体" w:cs="宋体"/>
                <w:kern w:val="0"/>
                <w:sz w:val="20"/>
              </w:rPr>
            </w:pPr>
          </w:p>
        </w:tc>
        <w:tc>
          <w:tcPr>
            <w:tcW w:w="1245" w:type="dxa"/>
            <w:shd w:val="clear" w:color="auto" w:fill="FFFFFF"/>
            <w:noWrap/>
            <w:vAlign w:val="center"/>
          </w:tcPr>
          <w:p>
            <w:pPr>
              <w:widowControl/>
              <w:jc w:val="center"/>
              <w:rPr>
                <w:rFonts w:ascii="宋体" w:hAnsi="宋体" w:cs="宋体"/>
                <w:kern w:val="0"/>
                <w:sz w:val="20"/>
              </w:rPr>
            </w:pPr>
          </w:p>
        </w:tc>
        <w:tc>
          <w:tcPr>
            <w:tcW w:w="209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（二十六）转移性支出</w:t>
            </w:r>
          </w:p>
        </w:tc>
        <w:tc>
          <w:tcPr>
            <w:tcW w:w="1081" w:type="dxa"/>
            <w:shd w:val="clear" w:color="auto" w:fill="FFFFFF"/>
            <w:noWrap/>
            <w:vAlign w:val="center"/>
          </w:tcPr>
          <w:p>
            <w:pPr>
              <w:widowControl/>
              <w:jc w:val="center"/>
              <w:rPr>
                <w:rFonts w:ascii="宋体" w:hAnsi="宋体" w:cs="宋体"/>
                <w:kern w:val="0"/>
                <w:sz w:val="20"/>
              </w:rPr>
            </w:pPr>
          </w:p>
        </w:tc>
        <w:tc>
          <w:tcPr>
            <w:tcW w:w="1112" w:type="dxa"/>
            <w:shd w:val="clear" w:color="auto" w:fill="FFFFFF"/>
            <w:noWrap/>
            <w:vAlign w:val="center"/>
          </w:tcPr>
          <w:p>
            <w:pPr>
              <w:widowControl/>
              <w:jc w:val="center"/>
              <w:rPr>
                <w:rFonts w:ascii="宋体" w:hAnsi="宋体" w:cs="宋体"/>
                <w:kern w:val="0"/>
                <w:sz w:val="20"/>
              </w:rPr>
            </w:pPr>
          </w:p>
        </w:tc>
        <w:tc>
          <w:tcPr>
            <w:tcW w:w="110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ascii="宋体" w:hAnsi="宋体" w:cs="宋体"/>
                <w:kern w:val="0"/>
                <w:sz w:val="20"/>
              </w:rPr>
            </w:pPr>
          </w:p>
        </w:tc>
        <w:tc>
          <w:tcPr>
            <w:tcW w:w="1245" w:type="dxa"/>
            <w:shd w:val="clear" w:color="auto" w:fill="FFFFFF"/>
            <w:noWrap/>
            <w:vAlign w:val="center"/>
          </w:tcPr>
          <w:p>
            <w:pPr>
              <w:widowControl/>
              <w:jc w:val="center"/>
              <w:rPr>
                <w:rFonts w:ascii="宋体" w:hAnsi="宋体" w:cs="宋体"/>
                <w:kern w:val="0"/>
                <w:sz w:val="20"/>
              </w:rPr>
            </w:pPr>
          </w:p>
        </w:tc>
        <w:tc>
          <w:tcPr>
            <w:tcW w:w="209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（二十七）债务还本支出</w:t>
            </w:r>
          </w:p>
        </w:tc>
        <w:tc>
          <w:tcPr>
            <w:tcW w:w="1081" w:type="dxa"/>
            <w:shd w:val="clear" w:color="auto" w:fill="FFFFFF"/>
            <w:noWrap/>
            <w:vAlign w:val="center"/>
          </w:tcPr>
          <w:p>
            <w:pPr>
              <w:widowControl/>
              <w:jc w:val="center"/>
              <w:rPr>
                <w:rFonts w:ascii="宋体" w:hAnsi="宋体" w:cs="宋体"/>
                <w:kern w:val="0"/>
                <w:sz w:val="20"/>
              </w:rPr>
            </w:pPr>
          </w:p>
        </w:tc>
        <w:tc>
          <w:tcPr>
            <w:tcW w:w="1112" w:type="dxa"/>
            <w:shd w:val="clear" w:color="auto" w:fill="FFFFFF"/>
            <w:noWrap/>
            <w:vAlign w:val="center"/>
          </w:tcPr>
          <w:p>
            <w:pPr>
              <w:widowControl/>
              <w:jc w:val="center"/>
              <w:rPr>
                <w:rFonts w:ascii="宋体" w:hAnsi="宋体" w:cs="宋体"/>
                <w:kern w:val="0"/>
                <w:sz w:val="20"/>
              </w:rPr>
            </w:pPr>
          </w:p>
        </w:tc>
        <w:tc>
          <w:tcPr>
            <w:tcW w:w="110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ascii="宋体" w:hAnsi="宋体" w:cs="宋体"/>
                <w:kern w:val="0"/>
                <w:sz w:val="20"/>
              </w:rPr>
            </w:pPr>
          </w:p>
        </w:tc>
        <w:tc>
          <w:tcPr>
            <w:tcW w:w="1245" w:type="dxa"/>
            <w:shd w:val="clear" w:color="auto" w:fill="FFFFFF"/>
            <w:noWrap/>
            <w:vAlign w:val="center"/>
          </w:tcPr>
          <w:p>
            <w:pPr>
              <w:widowControl/>
              <w:jc w:val="center"/>
              <w:rPr>
                <w:rFonts w:ascii="宋体" w:hAnsi="宋体" w:cs="宋体"/>
                <w:kern w:val="0"/>
                <w:sz w:val="20"/>
              </w:rPr>
            </w:pPr>
          </w:p>
        </w:tc>
        <w:tc>
          <w:tcPr>
            <w:tcW w:w="209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（二十八）债务付息支出</w:t>
            </w:r>
          </w:p>
        </w:tc>
        <w:tc>
          <w:tcPr>
            <w:tcW w:w="1081" w:type="dxa"/>
            <w:shd w:val="clear" w:color="auto" w:fill="FFFFFF"/>
            <w:noWrap/>
            <w:vAlign w:val="center"/>
          </w:tcPr>
          <w:p>
            <w:pPr>
              <w:widowControl/>
              <w:jc w:val="center"/>
              <w:rPr>
                <w:rFonts w:ascii="宋体" w:hAnsi="宋体" w:cs="宋体"/>
                <w:kern w:val="0"/>
                <w:sz w:val="20"/>
              </w:rPr>
            </w:pPr>
          </w:p>
        </w:tc>
        <w:tc>
          <w:tcPr>
            <w:tcW w:w="1112" w:type="dxa"/>
            <w:shd w:val="clear" w:color="auto" w:fill="FFFFFF"/>
            <w:noWrap/>
            <w:vAlign w:val="center"/>
          </w:tcPr>
          <w:p>
            <w:pPr>
              <w:widowControl/>
              <w:jc w:val="center"/>
              <w:rPr>
                <w:rFonts w:ascii="宋体" w:hAnsi="宋体" w:cs="宋体"/>
                <w:kern w:val="0"/>
                <w:sz w:val="20"/>
              </w:rPr>
            </w:pPr>
          </w:p>
        </w:tc>
        <w:tc>
          <w:tcPr>
            <w:tcW w:w="110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ascii="宋体" w:hAnsi="宋体" w:cs="宋体"/>
                <w:kern w:val="0"/>
                <w:sz w:val="20"/>
              </w:rPr>
            </w:pPr>
          </w:p>
        </w:tc>
        <w:tc>
          <w:tcPr>
            <w:tcW w:w="1245" w:type="dxa"/>
            <w:shd w:val="clear" w:color="auto" w:fill="FFFFFF"/>
            <w:noWrap/>
            <w:vAlign w:val="center"/>
          </w:tcPr>
          <w:p>
            <w:pPr>
              <w:widowControl/>
              <w:jc w:val="center"/>
              <w:rPr>
                <w:rFonts w:ascii="宋体" w:hAnsi="宋体" w:cs="宋体"/>
                <w:kern w:val="0"/>
                <w:sz w:val="20"/>
              </w:rPr>
            </w:pPr>
          </w:p>
        </w:tc>
        <w:tc>
          <w:tcPr>
            <w:tcW w:w="209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（二十九）债务发行费用支出</w:t>
            </w:r>
          </w:p>
        </w:tc>
        <w:tc>
          <w:tcPr>
            <w:tcW w:w="1081" w:type="dxa"/>
            <w:shd w:val="clear" w:color="auto" w:fill="FFFFFF"/>
            <w:noWrap/>
            <w:vAlign w:val="center"/>
          </w:tcPr>
          <w:p>
            <w:pPr>
              <w:widowControl/>
              <w:jc w:val="center"/>
              <w:rPr>
                <w:rFonts w:ascii="宋体" w:hAnsi="宋体" w:cs="宋体"/>
                <w:kern w:val="0"/>
                <w:sz w:val="20"/>
              </w:rPr>
            </w:pPr>
          </w:p>
        </w:tc>
        <w:tc>
          <w:tcPr>
            <w:tcW w:w="1112" w:type="dxa"/>
            <w:shd w:val="clear" w:color="auto" w:fill="FFFFFF"/>
            <w:noWrap/>
            <w:vAlign w:val="center"/>
          </w:tcPr>
          <w:p>
            <w:pPr>
              <w:widowControl/>
              <w:jc w:val="center"/>
              <w:rPr>
                <w:rFonts w:ascii="宋体" w:hAnsi="宋体" w:cs="宋体"/>
                <w:kern w:val="0"/>
                <w:sz w:val="20"/>
              </w:rPr>
            </w:pPr>
          </w:p>
        </w:tc>
        <w:tc>
          <w:tcPr>
            <w:tcW w:w="110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ascii="宋体" w:hAnsi="宋体" w:cs="宋体"/>
                <w:kern w:val="0"/>
                <w:sz w:val="20"/>
              </w:rPr>
            </w:pPr>
          </w:p>
        </w:tc>
        <w:tc>
          <w:tcPr>
            <w:tcW w:w="1245" w:type="dxa"/>
            <w:shd w:val="clear" w:color="auto" w:fill="FFFFFF"/>
            <w:noWrap/>
            <w:vAlign w:val="center"/>
          </w:tcPr>
          <w:p>
            <w:pPr>
              <w:widowControl/>
              <w:jc w:val="center"/>
              <w:rPr>
                <w:rFonts w:ascii="宋体" w:hAnsi="宋体" w:cs="宋体"/>
                <w:kern w:val="0"/>
                <w:sz w:val="20"/>
              </w:rPr>
            </w:pPr>
          </w:p>
        </w:tc>
        <w:tc>
          <w:tcPr>
            <w:tcW w:w="209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（三十）抗疫特别国债安排的支出</w:t>
            </w:r>
          </w:p>
        </w:tc>
        <w:tc>
          <w:tcPr>
            <w:tcW w:w="1081" w:type="dxa"/>
            <w:shd w:val="clear" w:color="auto" w:fill="FFFFFF"/>
            <w:noWrap/>
            <w:vAlign w:val="center"/>
          </w:tcPr>
          <w:p>
            <w:pPr>
              <w:widowControl/>
              <w:jc w:val="center"/>
              <w:rPr>
                <w:rFonts w:ascii="宋体" w:hAnsi="宋体" w:cs="宋体"/>
                <w:kern w:val="0"/>
                <w:sz w:val="20"/>
              </w:rPr>
            </w:pPr>
          </w:p>
        </w:tc>
        <w:tc>
          <w:tcPr>
            <w:tcW w:w="1112" w:type="dxa"/>
            <w:shd w:val="clear" w:color="auto" w:fill="FFFFFF"/>
            <w:noWrap/>
            <w:vAlign w:val="center"/>
          </w:tcPr>
          <w:p>
            <w:pPr>
              <w:widowControl/>
              <w:jc w:val="center"/>
              <w:rPr>
                <w:rFonts w:ascii="宋体" w:hAnsi="宋体" w:cs="宋体"/>
                <w:kern w:val="0"/>
                <w:sz w:val="20"/>
              </w:rPr>
            </w:pPr>
          </w:p>
        </w:tc>
        <w:tc>
          <w:tcPr>
            <w:tcW w:w="110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ascii="宋体" w:hAnsi="宋体" w:cs="宋体"/>
                <w:kern w:val="0"/>
                <w:sz w:val="20"/>
              </w:rPr>
            </w:pPr>
          </w:p>
        </w:tc>
        <w:tc>
          <w:tcPr>
            <w:tcW w:w="1245" w:type="dxa"/>
            <w:shd w:val="clear" w:color="auto" w:fill="FFFFFF"/>
            <w:noWrap/>
            <w:vAlign w:val="center"/>
          </w:tcPr>
          <w:p>
            <w:pPr>
              <w:widowControl/>
              <w:jc w:val="center"/>
              <w:rPr>
                <w:rFonts w:ascii="宋体" w:hAnsi="宋体" w:cs="宋体"/>
                <w:kern w:val="0"/>
                <w:sz w:val="20"/>
              </w:rPr>
            </w:pPr>
          </w:p>
        </w:tc>
        <w:tc>
          <w:tcPr>
            <w:tcW w:w="209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（三十一）往来性支出</w:t>
            </w:r>
          </w:p>
        </w:tc>
        <w:tc>
          <w:tcPr>
            <w:tcW w:w="1081" w:type="dxa"/>
            <w:shd w:val="clear" w:color="auto" w:fill="FFFFFF"/>
            <w:noWrap/>
            <w:vAlign w:val="center"/>
          </w:tcPr>
          <w:p>
            <w:pPr>
              <w:widowControl/>
              <w:jc w:val="center"/>
              <w:rPr>
                <w:rFonts w:ascii="宋体" w:hAnsi="宋体" w:cs="宋体"/>
                <w:kern w:val="0"/>
                <w:sz w:val="20"/>
              </w:rPr>
            </w:pPr>
          </w:p>
        </w:tc>
        <w:tc>
          <w:tcPr>
            <w:tcW w:w="1112" w:type="dxa"/>
            <w:shd w:val="clear" w:color="auto" w:fill="FFFFFF"/>
            <w:noWrap/>
            <w:vAlign w:val="center"/>
          </w:tcPr>
          <w:p>
            <w:pPr>
              <w:widowControl/>
              <w:jc w:val="center"/>
              <w:rPr>
                <w:rFonts w:ascii="宋体" w:hAnsi="宋体" w:cs="宋体"/>
                <w:kern w:val="0"/>
                <w:sz w:val="20"/>
              </w:rPr>
            </w:pPr>
          </w:p>
        </w:tc>
        <w:tc>
          <w:tcPr>
            <w:tcW w:w="110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二、上年结转</w:t>
            </w:r>
          </w:p>
        </w:tc>
        <w:tc>
          <w:tcPr>
            <w:tcW w:w="124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3704.23</w:t>
            </w:r>
          </w:p>
        </w:tc>
        <w:tc>
          <w:tcPr>
            <w:tcW w:w="209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二、结转下年</w:t>
            </w:r>
          </w:p>
        </w:tc>
        <w:tc>
          <w:tcPr>
            <w:tcW w:w="1081" w:type="dxa"/>
            <w:shd w:val="clear" w:color="auto" w:fill="FFFFFF"/>
            <w:noWrap/>
            <w:vAlign w:val="center"/>
          </w:tcPr>
          <w:p>
            <w:pPr>
              <w:widowControl/>
              <w:jc w:val="center"/>
              <w:rPr>
                <w:rFonts w:ascii="宋体" w:hAnsi="宋体" w:cs="宋体"/>
                <w:kern w:val="0"/>
                <w:sz w:val="20"/>
              </w:rPr>
            </w:pPr>
          </w:p>
        </w:tc>
        <w:tc>
          <w:tcPr>
            <w:tcW w:w="1112" w:type="dxa"/>
            <w:shd w:val="clear" w:color="auto" w:fill="FFFFFF"/>
            <w:noWrap/>
            <w:vAlign w:val="center"/>
          </w:tcPr>
          <w:p>
            <w:pPr>
              <w:widowControl/>
              <w:jc w:val="center"/>
              <w:rPr>
                <w:rFonts w:ascii="宋体" w:hAnsi="宋体" w:cs="宋体"/>
                <w:kern w:val="0"/>
                <w:sz w:val="20"/>
              </w:rPr>
            </w:pPr>
          </w:p>
        </w:tc>
        <w:tc>
          <w:tcPr>
            <w:tcW w:w="110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（一）一般公共预算拨款</w:t>
            </w:r>
          </w:p>
        </w:tc>
        <w:tc>
          <w:tcPr>
            <w:tcW w:w="124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3704.23</w:t>
            </w:r>
          </w:p>
        </w:tc>
        <w:tc>
          <w:tcPr>
            <w:tcW w:w="2096" w:type="dxa"/>
            <w:shd w:val="clear" w:color="auto" w:fill="FFFFFF"/>
            <w:noWrap/>
            <w:vAlign w:val="center"/>
          </w:tcPr>
          <w:p>
            <w:pPr>
              <w:widowControl/>
              <w:jc w:val="left"/>
              <w:rPr>
                <w:rFonts w:ascii="宋体" w:hAnsi="宋体" w:cs="宋体"/>
                <w:kern w:val="0"/>
                <w:sz w:val="20"/>
              </w:rPr>
            </w:pPr>
          </w:p>
        </w:tc>
        <w:tc>
          <w:tcPr>
            <w:tcW w:w="1081" w:type="dxa"/>
            <w:shd w:val="clear" w:color="auto" w:fill="FFFFFF"/>
            <w:noWrap/>
            <w:vAlign w:val="center"/>
          </w:tcPr>
          <w:p>
            <w:pPr>
              <w:widowControl/>
              <w:jc w:val="center"/>
              <w:rPr>
                <w:rFonts w:ascii="宋体" w:hAnsi="宋体" w:cs="宋体"/>
                <w:kern w:val="0"/>
                <w:sz w:val="20"/>
              </w:rPr>
            </w:pPr>
          </w:p>
        </w:tc>
        <w:tc>
          <w:tcPr>
            <w:tcW w:w="1112" w:type="dxa"/>
            <w:shd w:val="clear" w:color="auto" w:fill="FFFFFF"/>
            <w:noWrap/>
            <w:vAlign w:val="center"/>
          </w:tcPr>
          <w:p>
            <w:pPr>
              <w:widowControl/>
              <w:jc w:val="center"/>
              <w:rPr>
                <w:rFonts w:ascii="宋体" w:hAnsi="宋体" w:cs="宋体"/>
                <w:kern w:val="0"/>
                <w:sz w:val="20"/>
              </w:rPr>
            </w:pPr>
          </w:p>
        </w:tc>
        <w:tc>
          <w:tcPr>
            <w:tcW w:w="110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（二）政府性基金预算拨款</w:t>
            </w:r>
          </w:p>
        </w:tc>
        <w:tc>
          <w:tcPr>
            <w:tcW w:w="1245" w:type="dxa"/>
            <w:shd w:val="clear" w:color="auto" w:fill="FFFFFF"/>
            <w:noWrap/>
            <w:vAlign w:val="center"/>
          </w:tcPr>
          <w:p>
            <w:pPr>
              <w:widowControl/>
              <w:jc w:val="center"/>
              <w:rPr>
                <w:rFonts w:ascii="宋体" w:hAnsi="宋体" w:cs="宋体"/>
                <w:kern w:val="0"/>
                <w:sz w:val="20"/>
              </w:rPr>
            </w:pPr>
          </w:p>
        </w:tc>
        <w:tc>
          <w:tcPr>
            <w:tcW w:w="2096" w:type="dxa"/>
            <w:shd w:val="clear" w:color="auto" w:fill="FFFFFF"/>
            <w:noWrap/>
            <w:vAlign w:val="center"/>
          </w:tcPr>
          <w:p>
            <w:pPr>
              <w:widowControl/>
              <w:jc w:val="left"/>
              <w:rPr>
                <w:rFonts w:ascii="宋体" w:hAnsi="宋体" w:cs="宋体"/>
                <w:kern w:val="0"/>
                <w:sz w:val="20"/>
              </w:rPr>
            </w:pPr>
          </w:p>
        </w:tc>
        <w:tc>
          <w:tcPr>
            <w:tcW w:w="1081" w:type="dxa"/>
            <w:shd w:val="clear" w:color="auto" w:fill="FFFFFF"/>
            <w:noWrap/>
            <w:vAlign w:val="center"/>
          </w:tcPr>
          <w:p>
            <w:pPr>
              <w:widowControl/>
              <w:jc w:val="center"/>
              <w:rPr>
                <w:rFonts w:ascii="宋体" w:hAnsi="宋体" w:cs="宋体"/>
                <w:kern w:val="0"/>
                <w:sz w:val="20"/>
              </w:rPr>
            </w:pPr>
          </w:p>
        </w:tc>
        <w:tc>
          <w:tcPr>
            <w:tcW w:w="1112" w:type="dxa"/>
            <w:shd w:val="clear" w:color="auto" w:fill="FFFFFF"/>
            <w:noWrap/>
            <w:vAlign w:val="center"/>
          </w:tcPr>
          <w:p>
            <w:pPr>
              <w:widowControl/>
              <w:jc w:val="center"/>
              <w:rPr>
                <w:rFonts w:ascii="宋体" w:hAnsi="宋体" w:cs="宋体"/>
                <w:kern w:val="0"/>
                <w:sz w:val="20"/>
              </w:rPr>
            </w:pPr>
          </w:p>
        </w:tc>
        <w:tc>
          <w:tcPr>
            <w:tcW w:w="1106"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收入总计</w:t>
            </w:r>
          </w:p>
        </w:tc>
        <w:tc>
          <w:tcPr>
            <w:tcW w:w="124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6037.01</w:t>
            </w:r>
          </w:p>
        </w:tc>
        <w:tc>
          <w:tcPr>
            <w:tcW w:w="209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支出总计</w:t>
            </w:r>
          </w:p>
        </w:tc>
        <w:tc>
          <w:tcPr>
            <w:tcW w:w="1081"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6037.01</w:t>
            </w:r>
          </w:p>
        </w:tc>
        <w:tc>
          <w:tcPr>
            <w:tcW w:w="111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6037.01</w:t>
            </w:r>
          </w:p>
        </w:tc>
        <w:tc>
          <w:tcPr>
            <w:tcW w:w="1106" w:type="dxa"/>
            <w:shd w:val="clear" w:color="auto" w:fill="FFFFFF"/>
            <w:noWrap/>
            <w:vAlign w:val="center"/>
          </w:tcPr>
          <w:p>
            <w:pPr>
              <w:widowControl/>
              <w:jc w:val="center"/>
              <w:rPr>
                <w:rFonts w:ascii="宋体" w:hAnsi="宋体" w:cs="宋体"/>
                <w:kern w:val="0"/>
                <w:sz w:val="20"/>
              </w:rPr>
            </w:pPr>
          </w:p>
        </w:tc>
      </w:tr>
    </w:tbl>
    <w:p>
      <w:r>
        <w:br w:type="page"/>
      </w:r>
    </w:p>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4026"/>
        <w:gridCol w:w="1311"/>
        <w:gridCol w:w="1311"/>
        <w:gridCol w:w="1312"/>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部门公开表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6275"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393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2023年预算数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402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31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31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31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40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3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3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3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6275"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3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2332.78</w:t>
            </w:r>
          </w:p>
        </w:tc>
        <w:tc>
          <w:tcPr>
            <w:tcW w:w="13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152.77</w:t>
            </w:r>
          </w:p>
        </w:tc>
        <w:tc>
          <w:tcPr>
            <w:tcW w:w="13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2180.01</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40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社会保障和就业支出　</w:t>
            </w:r>
          </w:p>
        </w:tc>
        <w:tc>
          <w:tcPr>
            <w:tcW w:w="13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33.16</w:t>
            </w:r>
          </w:p>
        </w:tc>
        <w:tc>
          <w:tcPr>
            <w:tcW w:w="13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33.16</w:t>
            </w:r>
          </w:p>
        </w:tc>
        <w:tc>
          <w:tcPr>
            <w:tcW w:w="13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40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行政事业单位养老支出　</w:t>
            </w:r>
          </w:p>
        </w:tc>
        <w:tc>
          <w:tcPr>
            <w:tcW w:w="13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33.06</w:t>
            </w:r>
          </w:p>
        </w:tc>
        <w:tc>
          <w:tcPr>
            <w:tcW w:w="13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33.06</w:t>
            </w:r>
          </w:p>
        </w:tc>
        <w:tc>
          <w:tcPr>
            <w:tcW w:w="13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40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机关事业单位基本养老保险缴费支出　</w:t>
            </w:r>
          </w:p>
        </w:tc>
        <w:tc>
          <w:tcPr>
            <w:tcW w:w="13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10.03</w:t>
            </w:r>
          </w:p>
        </w:tc>
        <w:tc>
          <w:tcPr>
            <w:tcW w:w="13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10.03</w:t>
            </w:r>
          </w:p>
        </w:tc>
        <w:tc>
          <w:tcPr>
            <w:tcW w:w="13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06</w:t>
            </w:r>
          </w:p>
        </w:tc>
        <w:tc>
          <w:tcPr>
            <w:tcW w:w="40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机关事业单位职业年金缴费支出　</w:t>
            </w:r>
          </w:p>
        </w:tc>
        <w:tc>
          <w:tcPr>
            <w:tcW w:w="13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5.02</w:t>
            </w:r>
          </w:p>
        </w:tc>
        <w:tc>
          <w:tcPr>
            <w:tcW w:w="13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5.02</w:t>
            </w:r>
          </w:p>
        </w:tc>
        <w:tc>
          <w:tcPr>
            <w:tcW w:w="13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40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其他行政事业单位养老支出　</w:t>
            </w:r>
          </w:p>
        </w:tc>
        <w:tc>
          <w:tcPr>
            <w:tcW w:w="13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18.01</w:t>
            </w:r>
          </w:p>
        </w:tc>
        <w:tc>
          <w:tcPr>
            <w:tcW w:w="13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18.01</w:t>
            </w:r>
          </w:p>
        </w:tc>
        <w:tc>
          <w:tcPr>
            <w:tcW w:w="13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40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其他社会保障和就业支出　</w:t>
            </w:r>
          </w:p>
        </w:tc>
        <w:tc>
          <w:tcPr>
            <w:tcW w:w="13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0.11</w:t>
            </w:r>
          </w:p>
        </w:tc>
        <w:tc>
          <w:tcPr>
            <w:tcW w:w="13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0.11</w:t>
            </w:r>
          </w:p>
        </w:tc>
        <w:tc>
          <w:tcPr>
            <w:tcW w:w="13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40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其他社会保障和就业支出　</w:t>
            </w:r>
          </w:p>
        </w:tc>
        <w:tc>
          <w:tcPr>
            <w:tcW w:w="13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0.11</w:t>
            </w:r>
          </w:p>
        </w:tc>
        <w:tc>
          <w:tcPr>
            <w:tcW w:w="13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0.11</w:t>
            </w:r>
          </w:p>
        </w:tc>
        <w:tc>
          <w:tcPr>
            <w:tcW w:w="13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40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卫生健康支出　</w:t>
            </w:r>
          </w:p>
        </w:tc>
        <w:tc>
          <w:tcPr>
            <w:tcW w:w="13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12.29</w:t>
            </w:r>
          </w:p>
        </w:tc>
        <w:tc>
          <w:tcPr>
            <w:tcW w:w="13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12.29</w:t>
            </w:r>
          </w:p>
        </w:tc>
        <w:tc>
          <w:tcPr>
            <w:tcW w:w="13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40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行政事业单位医疗　</w:t>
            </w:r>
          </w:p>
        </w:tc>
        <w:tc>
          <w:tcPr>
            <w:tcW w:w="13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12.29</w:t>
            </w:r>
          </w:p>
        </w:tc>
        <w:tc>
          <w:tcPr>
            <w:tcW w:w="13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12.29</w:t>
            </w:r>
          </w:p>
        </w:tc>
        <w:tc>
          <w:tcPr>
            <w:tcW w:w="13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40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行政单位医疗　</w:t>
            </w:r>
          </w:p>
        </w:tc>
        <w:tc>
          <w:tcPr>
            <w:tcW w:w="13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7.94</w:t>
            </w:r>
          </w:p>
        </w:tc>
        <w:tc>
          <w:tcPr>
            <w:tcW w:w="13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7.94</w:t>
            </w:r>
          </w:p>
        </w:tc>
        <w:tc>
          <w:tcPr>
            <w:tcW w:w="13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03</w:t>
            </w:r>
          </w:p>
        </w:tc>
        <w:tc>
          <w:tcPr>
            <w:tcW w:w="40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公务员医疗补助　</w:t>
            </w:r>
          </w:p>
        </w:tc>
        <w:tc>
          <w:tcPr>
            <w:tcW w:w="13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4.35</w:t>
            </w:r>
          </w:p>
        </w:tc>
        <w:tc>
          <w:tcPr>
            <w:tcW w:w="13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4.35</w:t>
            </w:r>
          </w:p>
        </w:tc>
        <w:tc>
          <w:tcPr>
            <w:tcW w:w="13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213</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40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农林水支出　</w:t>
            </w:r>
          </w:p>
        </w:tc>
        <w:tc>
          <w:tcPr>
            <w:tcW w:w="13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400.00</w:t>
            </w:r>
          </w:p>
        </w:tc>
        <w:tc>
          <w:tcPr>
            <w:tcW w:w="13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3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400.00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40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巩固脱贫攻坚成果衔接乡村振兴　</w:t>
            </w:r>
          </w:p>
        </w:tc>
        <w:tc>
          <w:tcPr>
            <w:tcW w:w="13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400.00</w:t>
            </w:r>
          </w:p>
        </w:tc>
        <w:tc>
          <w:tcPr>
            <w:tcW w:w="13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3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400.00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40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其他巩固脱贫攻坚成果衔接乡村振兴支出　</w:t>
            </w:r>
          </w:p>
        </w:tc>
        <w:tc>
          <w:tcPr>
            <w:tcW w:w="13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400.00</w:t>
            </w:r>
          </w:p>
        </w:tc>
        <w:tc>
          <w:tcPr>
            <w:tcW w:w="13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3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400.00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214</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40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交通运输支出　</w:t>
            </w:r>
          </w:p>
        </w:tc>
        <w:tc>
          <w:tcPr>
            <w:tcW w:w="13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1878.59</w:t>
            </w:r>
          </w:p>
        </w:tc>
        <w:tc>
          <w:tcPr>
            <w:tcW w:w="13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98.58</w:t>
            </w:r>
          </w:p>
        </w:tc>
        <w:tc>
          <w:tcPr>
            <w:tcW w:w="13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1780.01</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40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公路水路运输　</w:t>
            </w:r>
          </w:p>
        </w:tc>
        <w:tc>
          <w:tcPr>
            <w:tcW w:w="13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192.58</w:t>
            </w:r>
          </w:p>
        </w:tc>
        <w:tc>
          <w:tcPr>
            <w:tcW w:w="13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98.58</w:t>
            </w:r>
          </w:p>
        </w:tc>
        <w:tc>
          <w:tcPr>
            <w:tcW w:w="13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94.00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40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行政运行　</w:t>
            </w:r>
          </w:p>
        </w:tc>
        <w:tc>
          <w:tcPr>
            <w:tcW w:w="13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142.58</w:t>
            </w:r>
          </w:p>
        </w:tc>
        <w:tc>
          <w:tcPr>
            <w:tcW w:w="13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98.58</w:t>
            </w:r>
          </w:p>
        </w:tc>
        <w:tc>
          <w:tcPr>
            <w:tcW w:w="13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44.00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40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其他公路水路运输支出　</w:t>
            </w:r>
          </w:p>
        </w:tc>
        <w:tc>
          <w:tcPr>
            <w:tcW w:w="13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50.00</w:t>
            </w:r>
          </w:p>
        </w:tc>
        <w:tc>
          <w:tcPr>
            <w:tcW w:w="13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3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06</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40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车辆购置税支出　</w:t>
            </w:r>
          </w:p>
        </w:tc>
        <w:tc>
          <w:tcPr>
            <w:tcW w:w="13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1686.01</w:t>
            </w:r>
          </w:p>
        </w:tc>
        <w:tc>
          <w:tcPr>
            <w:tcW w:w="13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3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1686.01</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40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车辆购置税用于农村公路建设支出　</w:t>
            </w:r>
          </w:p>
        </w:tc>
        <w:tc>
          <w:tcPr>
            <w:tcW w:w="13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1686.01</w:t>
            </w:r>
          </w:p>
        </w:tc>
        <w:tc>
          <w:tcPr>
            <w:tcW w:w="13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3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1686.01</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40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住房保障支出　</w:t>
            </w:r>
          </w:p>
        </w:tc>
        <w:tc>
          <w:tcPr>
            <w:tcW w:w="13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8.73</w:t>
            </w:r>
          </w:p>
        </w:tc>
        <w:tc>
          <w:tcPr>
            <w:tcW w:w="13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8.73</w:t>
            </w:r>
          </w:p>
        </w:tc>
        <w:tc>
          <w:tcPr>
            <w:tcW w:w="13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40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住房改革支出　</w:t>
            </w:r>
          </w:p>
        </w:tc>
        <w:tc>
          <w:tcPr>
            <w:tcW w:w="13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8.73</w:t>
            </w:r>
          </w:p>
        </w:tc>
        <w:tc>
          <w:tcPr>
            <w:tcW w:w="13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8.73</w:t>
            </w:r>
          </w:p>
        </w:tc>
        <w:tc>
          <w:tcPr>
            <w:tcW w:w="13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40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住房公积金　</w:t>
            </w:r>
          </w:p>
        </w:tc>
        <w:tc>
          <w:tcPr>
            <w:tcW w:w="13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8.73</w:t>
            </w:r>
          </w:p>
        </w:tc>
        <w:tc>
          <w:tcPr>
            <w:tcW w:w="131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8.73</w:t>
            </w:r>
          </w:p>
        </w:tc>
        <w:tc>
          <w:tcPr>
            <w:tcW w:w="13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rPr>
          <w:rFonts w:ascii="仿宋_GB2312" w:eastAsia="仿宋_GB2312"/>
          <w:sz w:val="32"/>
          <w:szCs w:val="32"/>
        </w:rPr>
      </w:pPr>
      <w:r>
        <w:rPr>
          <w:rFonts w:hint="eastAsia" w:ascii="仿宋_GB2312" w:eastAsia="仿宋_GB2312"/>
          <w:sz w:val="32"/>
          <w:szCs w:val="32"/>
        </w:rPr>
        <w:br w:type="page"/>
      </w:r>
    </w:p>
    <w:tbl>
      <w:tblPr>
        <w:tblStyle w:val="5"/>
        <w:tblW w:w="11245" w:type="dxa"/>
        <w:jc w:val="center"/>
        <w:tblLayout w:type="fixed"/>
        <w:tblCellMar>
          <w:top w:w="0" w:type="dxa"/>
          <w:left w:w="108" w:type="dxa"/>
          <w:bottom w:w="0" w:type="dxa"/>
          <w:right w:w="108" w:type="dxa"/>
        </w:tblCellMar>
      </w:tblPr>
      <w:tblGrid>
        <w:gridCol w:w="650"/>
        <w:gridCol w:w="650"/>
        <w:gridCol w:w="2863"/>
        <w:gridCol w:w="2300"/>
        <w:gridCol w:w="2288"/>
        <w:gridCol w:w="2494"/>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部门公开表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1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7082"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2023年基本支出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86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30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28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49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28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2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4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163" w:type="dxa"/>
            <w:gridSpan w:val="3"/>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230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152.77</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143.12</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9.65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301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86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工资福利支出</w:t>
            </w:r>
          </w:p>
        </w:tc>
        <w:tc>
          <w:tcPr>
            <w:tcW w:w="230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120.70</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120.70</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286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基本工资</w:t>
            </w:r>
          </w:p>
        </w:tc>
        <w:tc>
          <w:tcPr>
            <w:tcW w:w="230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25.01</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25.01</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286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津贴补贴</w:t>
            </w:r>
          </w:p>
        </w:tc>
        <w:tc>
          <w:tcPr>
            <w:tcW w:w="230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29.74</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29.74</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286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奖金</w:t>
            </w:r>
          </w:p>
        </w:tc>
        <w:tc>
          <w:tcPr>
            <w:tcW w:w="230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27.57</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27.57</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286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机关事业单位基本养老保险缴费</w:t>
            </w:r>
          </w:p>
        </w:tc>
        <w:tc>
          <w:tcPr>
            <w:tcW w:w="230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10.03</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10.03</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286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职业年金缴费</w:t>
            </w:r>
          </w:p>
        </w:tc>
        <w:tc>
          <w:tcPr>
            <w:tcW w:w="230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5.02</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5.02</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286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职工基本医疗保险缴费</w:t>
            </w:r>
          </w:p>
        </w:tc>
        <w:tc>
          <w:tcPr>
            <w:tcW w:w="230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3.54</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3.54</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286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公务员医疗补助缴费</w:t>
            </w:r>
          </w:p>
        </w:tc>
        <w:tc>
          <w:tcPr>
            <w:tcW w:w="230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4.35</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4.35</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286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其他社会保障缴费</w:t>
            </w:r>
          </w:p>
        </w:tc>
        <w:tc>
          <w:tcPr>
            <w:tcW w:w="230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0.11</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0.11</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286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住房公积金</w:t>
            </w:r>
          </w:p>
        </w:tc>
        <w:tc>
          <w:tcPr>
            <w:tcW w:w="230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8.73</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8.73</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286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其他工资福利支出</w:t>
            </w:r>
          </w:p>
        </w:tc>
        <w:tc>
          <w:tcPr>
            <w:tcW w:w="230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6.60</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6.60</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302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86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商品和服务支出</w:t>
            </w:r>
          </w:p>
        </w:tc>
        <w:tc>
          <w:tcPr>
            <w:tcW w:w="230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9.65</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9.65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286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办公费</w:t>
            </w:r>
          </w:p>
        </w:tc>
        <w:tc>
          <w:tcPr>
            <w:tcW w:w="230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0.55</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0.55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286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水费</w:t>
            </w:r>
          </w:p>
        </w:tc>
        <w:tc>
          <w:tcPr>
            <w:tcW w:w="230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0.10</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286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电费</w:t>
            </w:r>
          </w:p>
        </w:tc>
        <w:tc>
          <w:tcPr>
            <w:tcW w:w="230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0.10</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286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邮电费</w:t>
            </w:r>
          </w:p>
        </w:tc>
        <w:tc>
          <w:tcPr>
            <w:tcW w:w="230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0.40</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0.40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286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取暖费</w:t>
            </w:r>
          </w:p>
        </w:tc>
        <w:tc>
          <w:tcPr>
            <w:tcW w:w="230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0.50</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0.50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286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差旅费</w:t>
            </w:r>
          </w:p>
        </w:tc>
        <w:tc>
          <w:tcPr>
            <w:tcW w:w="230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0.45</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0.45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286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公务接待费</w:t>
            </w:r>
          </w:p>
        </w:tc>
        <w:tc>
          <w:tcPr>
            <w:tcW w:w="230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0.15</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28</w:t>
            </w:r>
          </w:p>
        </w:tc>
        <w:tc>
          <w:tcPr>
            <w:tcW w:w="286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工会经费</w:t>
            </w:r>
          </w:p>
        </w:tc>
        <w:tc>
          <w:tcPr>
            <w:tcW w:w="230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1.09</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1.09</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31</w:t>
            </w:r>
          </w:p>
        </w:tc>
        <w:tc>
          <w:tcPr>
            <w:tcW w:w="286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公务用车运行维护费</w:t>
            </w:r>
          </w:p>
        </w:tc>
        <w:tc>
          <w:tcPr>
            <w:tcW w:w="230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39</w:t>
            </w:r>
          </w:p>
        </w:tc>
        <w:tc>
          <w:tcPr>
            <w:tcW w:w="286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其他交通费用</w:t>
            </w:r>
          </w:p>
        </w:tc>
        <w:tc>
          <w:tcPr>
            <w:tcW w:w="230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4.76</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4.76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286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其他商品和服务支出</w:t>
            </w:r>
          </w:p>
        </w:tc>
        <w:tc>
          <w:tcPr>
            <w:tcW w:w="230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0.55</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0.55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303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86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对个人和家庭的补助</w:t>
            </w:r>
          </w:p>
        </w:tc>
        <w:tc>
          <w:tcPr>
            <w:tcW w:w="230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22.41</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22.41</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286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退休费</w:t>
            </w:r>
          </w:p>
        </w:tc>
        <w:tc>
          <w:tcPr>
            <w:tcW w:w="230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17.16</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17.16</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286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生活补助</w:t>
            </w:r>
          </w:p>
        </w:tc>
        <w:tc>
          <w:tcPr>
            <w:tcW w:w="230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0.84</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0.84</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286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医疗费补助</w:t>
            </w:r>
          </w:p>
        </w:tc>
        <w:tc>
          <w:tcPr>
            <w:tcW w:w="230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4.41</w:t>
            </w: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4.41</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310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86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资本性支出</w:t>
            </w:r>
          </w:p>
        </w:tc>
        <w:tc>
          <w:tcPr>
            <w:tcW w:w="230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286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基础设施建设</w:t>
            </w:r>
          </w:p>
        </w:tc>
        <w:tc>
          <w:tcPr>
            <w:tcW w:w="230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312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86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对企业补助</w:t>
            </w:r>
          </w:p>
        </w:tc>
        <w:tc>
          <w:tcPr>
            <w:tcW w:w="230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286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其他对企业补助</w:t>
            </w:r>
          </w:p>
        </w:tc>
        <w:tc>
          <w:tcPr>
            <w:tcW w:w="230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399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86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其他支出</w:t>
            </w:r>
          </w:p>
        </w:tc>
        <w:tc>
          <w:tcPr>
            <w:tcW w:w="230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286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其他支出</w:t>
            </w:r>
          </w:p>
        </w:tc>
        <w:tc>
          <w:tcPr>
            <w:tcW w:w="230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bl>
    <w:p>
      <w:pPr>
        <w:rPr>
          <w:rFonts w:ascii="仿宋_GB2312" w:eastAsia="仿宋_GB2312"/>
          <w:sz w:val="10"/>
          <w:szCs w:val="32"/>
        </w:rPr>
      </w:pPr>
      <w:r>
        <w:rPr>
          <w:rFonts w:hint="eastAsia" w:ascii="仿宋_GB2312" w:eastAsia="仿宋_GB2312"/>
          <w:sz w:val="10"/>
          <w:szCs w:val="32"/>
        </w:rPr>
        <w:br w:type="page"/>
      </w:r>
    </w:p>
    <w:tbl>
      <w:tblPr>
        <w:tblStyle w:val="5"/>
        <w:tblW w:w="113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892"/>
        <w:gridCol w:w="965"/>
        <w:gridCol w:w="965"/>
        <w:gridCol w:w="965"/>
        <w:gridCol w:w="965"/>
        <w:gridCol w:w="965"/>
        <w:gridCol w:w="965"/>
        <w:gridCol w:w="965"/>
        <w:gridCol w:w="965"/>
        <w:gridCol w:w="965"/>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342"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62"/>
            <w:bookmarkEnd w:id="1"/>
            <w:bookmarkStart w:id="2" w:name="RANGE!A1:F15"/>
            <w:bookmarkEnd w:id="2"/>
            <w:bookmarkStart w:id="3" w:name="RANGE!A1:G6"/>
            <w:bookmarkEnd w:id="3"/>
            <w:r>
              <w:rPr>
                <w:rFonts w:hint="eastAsia" w:ascii="宋体" w:hAnsi="宋体" w:cs="宋体"/>
                <w:b/>
                <w:kern w:val="0"/>
                <w:sz w:val="18"/>
                <w:szCs w:val="18"/>
              </w:rPr>
              <w:t>部门公开表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342"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342" w:type="dxa"/>
            <w:gridSpan w:val="12"/>
            <w:tcBorders>
              <w:top w:val="nil"/>
              <w:left w:val="nil"/>
              <w:bottom w:val="single" w:color="auto" w:sz="4" w:space="0"/>
              <w:right w:val="nil"/>
            </w:tcBorders>
            <w:noWrap/>
            <w:vAlign w:val="center"/>
          </w:tcPr>
          <w:p>
            <w:pPr>
              <w:jc w:val="right"/>
              <w:rPr>
                <w:rFonts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646" w:type="dxa"/>
            <w:gridSpan w:val="6"/>
            <w:tcBorders>
              <w:top w:val="single" w:color="auto" w:sz="4" w:space="0"/>
            </w:tcBorders>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696" w:type="dxa"/>
            <w:gridSpan w:val="6"/>
            <w:tcBorders>
              <w:top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2023年预算数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894"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892"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871"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894" w:type="dxa"/>
            <w:vMerge w:val="continue"/>
            <w:vAlign w:val="center"/>
          </w:tcPr>
          <w:p>
            <w:pPr>
              <w:widowControl/>
              <w:jc w:val="left"/>
              <w:rPr>
                <w:rFonts w:ascii="宋体" w:hAnsi="宋体" w:cs="宋体"/>
                <w:b/>
                <w:bCs/>
                <w:color w:val="000000"/>
                <w:kern w:val="0"/>
                <w:sz w:val="22"/>
                <w:szCs w:val="22"/>
              </w:rPr>
            </w:pPr>
          </w:p>
        </w:tc>
        <w:tc>
          <w:tcPr>
            <w:tcW w:w="892" w:type="dxa"/>
            <w:vMerge w:val="continue"/>
            <w:vAlign w:val="center"/>
          </w:tcPr>
          <w:p>
            <w:pPr>
              <w:widowControl/>
              <w:jc w:val="left"/>
              <w:rPr>
                <w:rFonts w:ascii="宋体" w:hAnsi="宋体" w:cs="宋体"/>
                <w:b/>
                <w:bCs/>
                <w:color w:val="000000"/>
                <w:kern w:val="0"/>
                <w:sz w:val="22"/>
                <w:szCs w:val="22"/>
              </w:rPr>
            </w:pP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871" w:type="dxa"/>
            <w:vMerge w:val="continue"/>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894"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1.18</w:t>
            </w:r>
          </w:p>
        </w:tc>
        <w:tc>
          <w:tcPr>
            <w:tcW w:w="892"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0.18</w:t>
            </w: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1.15</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871"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0.15</w:t>
            </w:r>
          </w:p>
        </w:tc>
      </w:tr>
    </w:tbl>
    <w:p>
      <w:pPr>
        <w:rPr>
          <w:rFonts w:ascii="仿宋_GB2312" w:eastAsia="仿宋_GB2312"/>
          <w:sz w:val="32"/>
          <w:szCs w:val="32"/>
        </w:rPr>
      </w:pPr>
      <w:r>
        <w:rPr>
          <w:rFonts w:hint="eastAsia" w:ascii="仿宋_GB2312" w:eastAsia="仿宋_GB2312"/>
          <w:sz w:val="32"/>
          <w:szCs w:val="32"/>
        </w:rPr>
        <w:br w:type="page"/>
      </w:r>
    </w:p>
    <w:tbl>
      <w:tblPr>
        <w:tblStyle w:val="5"/>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ascii="宋体" w:hAnsi="宋体" w:cs="宋体"/>
                <w:b/>
                <w:bCs/>
                <w:kern w:val="0"/>
                <w:sz w:val="44"/>
                <w:szCs w:val="44"/>
              </w:rPr>
            </w:pPr>
            <w:r>
              <w:rPr>
                <w:rFonts w:hint="eastAsia" w:ascii="宋体" w:hAnsi="宋体" w:cs="宋体"/>
                <w:b/>
                <w:kern w:val="0"/>
                <w:sz w:val="18"/>
                <w:szCs w:val="18"/>
              </w:rPr>
              <w:t>部门公开表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2023年预算数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ascii="仿宋_GB2312" w:eastAsia="仿宋_GB2312"/>
          <w:sz w:val="32"/>
          <w:szCs w:val="32"/>
        </w:rPr>
      </w:pPr>
      <w:r>
        <w:rPr>
          <w:rFonts w:hint="eastAsia" w:ascii="仿宋_GB2312" w:eastAsia="仿宋_GB2312"/>
          <w:sz w:val="32"/>
          <w:szCs w:val="32"/>
        </w:rPr>
        <w:t>（注：此表为空表）</w:t>
      </w:r>
    </w:p>
    <w:p>
      <w:pPr>
        <w:rPr>
          <w:rFonts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ascii="小标宋" w:eastAsia="小标宋"/>
          <w:b/>
          <w:color w:val="000000"/>
          <w:sz w:val="36"/>
          <w:szCs w:val="36"/>
        </w:rPr>
      </w:pPr>
      <w:bookmarkStart w:id="5" w:name="RANGE!A1:K13"/>
      <w:bookmarkEnd w:id="5"/>
      <w:r>
        <w:rPr>
          <w:rFonts w:hint="eastAsia" w:ascii="小标宋" w:eastAsia="小标宋"/>
          <w:b/>
          <w:color w:val="000000"/>
          <w:sz w:val="36"/>
          <w:szCs w:val="36"/>
        </w:rPr>
        <w:t>第三部分  部门预算情况说明</w:t>
      </w:r>
    </w:p>
    <w:p>
      <w:pPr>
        <w:ind w:firstLine="640" w:firstLineChars="200"/>
        <w:rPr>
          <w:rFonts w:ascii="黑体" w:hAnsi="宋体" w:eastAsia="黑体"/>
          <w:color w:val="000000"/>
          <w:sz w:val="32"/>
          <w:szCs w:val="32"/>
        </w:rPr>
      </w:pP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一、关于湟源县交通运输局（本级）2023年部门收支预算情况的总体说明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湟源县交通运输局（本级）所有收入和支出均纳入部门预算管理。收入包括：一般公共预算拨款收入2332.78万元，上年结转3704.23万元；支出包括：社会保障和就业支出33.16万元，卫生健康支出15.29万元，农林水支出409.61万元，交通运输支出5570.21万元，住房保障支出8.73万元。湟源县交通运输局（本级）2023年收支总预算6037.01万元</w:t>
      </w:r>
      <w:r>
        <w:rPr>
          <w:rFonts w:ascii="仿宋_GB2312" w:eastAsia="仿宋_GB2312"/>
          <w:sz w:val="32"/>
          <w:szCs w:val="32"/>
        </w:rPr>
        <w:t>。</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二、关于湟源县交通运输局（本级）2023年部门收入预算情况说明</w:t>
      </w:r>
    </w:p>
    <w:p>
      <w:pPr>
        <w:ind w:firstLine="640" w:firstLineChars="200"/>
        <w:rPr>
          <w:rFonts w:ascii="仿宋_GB2312" w:eastAsia="仿宋_GB2312"/>
          <w:sz w:val="32"/>
          <w:szCs w:val="32"/>
        </w:rPr>
      </w:pPr>
      <w:r>
        <w:rPr>
          <w:rFonts w:hint="eastAsia" w:ascii="仿宋_GB2312" w:eastAsia="仿宋_GB2312"/>
          <w:sz w:val="32"/>
          <w:szCs w:val="32"/>
        </w:rPr>
        <w:t>湟源县交通运输局（本级）2023年收入预算6037.01万元，其中：上年结转3704.23万元，占61.36%；一般公共预算拨款收入2332.78万元，占38.64%。</w:t>
      </w:r>
    </w:p>
    <w:p>
      <w:pPr>
        <w:ind w:firstLine="640" w:firstLineChars="200"/>
        <w:rPr>
          <w:rFonts w:ascii="仿宋_GB2312" w:eastAsia="仿宋_GB2312"/>
          <w:sz w:val="32"/>
          <w:szCs w:val="32"/>
        </w:rPr>
      </w:pPr>
      <w:r>
        <w:rPr>
          <w:rFonts w:ascii="仿宋_GB2312" w:eastAsia="仿宋_GB2312"/>
          <w:sz w:val="32"/>
          <w:szCs w:val="32"/>
        </w:rPr>
        <w:drawing>
          <wp:inline distT="0" distB="0" distL="0" distR="0">
            <wp:extent cx="4667250" cy="21526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667250" cy="2152650"/>
                    </a:xfrm>
                    <a:prstGeom prst="rect">
                      <a:avLst/>
                    </a:prstGeom>
                    <a:noFill/>
                    <a:ln>
                      <a:noFill/>
                    </a:ln>
                  </pic:spPr>
                </pic:pic>
              </a:graphicData>
            </a:graphic>
          </wp:inline>
        </w:drawing>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三、关于湟源县交通运输局（本级）2023年部门支出预算情况说明</w:t>
      </w:r>
    </w:p>
    <w:p>
      <w:pPr>
        <w:ind w:firstLine="645"/>
        <w:rPr>
          <w:rFonts w:ascii="仿宋_GB2312" w:eastAsia="仿宋_GB2312"/>
          <w:sz w:val="32"/>
          <w:szCs w:val="32"/>
        </w:rPr>
      </w:pPr>
      <w:r>
        <w:rPr>
          <w:rFonts w:hint="eastAsia" w:ascii="仿宋_GB2312" w:eastAsia="仿宋_GB2312"/>
          <w:sz w:val="32"/>
          <w:szCs w:val="32"/>
        </w:rPr>
        <w:t>湟源县交通运输局（本级）2023年支出预算6037.01万元，其中：基本支出152.77万元，占2.53%；项目支出5884.24万元，占97.47%。</w:t>
      </w:r>
    </w:p>
    <w:p>
      <w:pPr>
        <w:ind w:firstLine="645"/>
        <w:rPr>
          <w:rFonts w:ascii="仿宋_GB2312" w:eastAsia="仿宋_GB2312"/>
          <w:sz w:val="32"/>
          <w:szCs w:val="32"/>
        </w:rPr>
      </w:pPr>
      <w:r>
        <w:rPr>
          <w:rFonts w:ascii="仿宋_GB2312" w:eastAsia="仿宋_GB2312"/>
          <w:sz w:val="32"/>
          <w:szCs w:val="32"/>
        </w:rPr>
        <w:drawing>
          <wp:inline distT="0" distB="0" distL="0" distR="0">
            <wp:extent cx="4667250" cy="21526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667250" cy="2152650"/>
                    </a:xfrm>
                    <a:prstGeom prst="rect">
                      <a:avLst/>
                    </a:prstGeom>
                    <a:noFill/>
                    <a:ln>
                      <a:noFill/>
                    </a:ln>
                  </pic:spPr>
                </pic:pic>
              </a:graphicData>
            </a:graphic>
          </wp:inline>
        </w:drawing>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四、关于湟源县交通运输局（本级）2023年财政拨款收支预算情况的总体说明</w:t>
      </w:r>
    </w:p>
    <w:p>
      <w:pPr>
        <w:ind w:firstLine="645"/>
        <w:rPr>
          <w:rFonts w:ascii="仿宋_GB2312" w:eastAsia="仿宋_GB2312"/>
          <w:sz w:val="32"/>
          <w:szCs w:val="32"/>
        </w:rPr>
      </w:pPr>
      <w:r>
        <w:rPr>
          <w:rFonts w:hint="eastAsia" w:ascii="仿宋_GB2312" w:eastAsia="仿宋_GB2312"/>
          <w:sz w:val="32"/>
          <w:szCs w:val="32"/>
        </w:rPr>
        <w:t>湟源县交通运输局（本级）2023年财政拨款收支总预算6037.01万元，比上年增加1409.53万元，主要是社会保障和就业支出、卫生健康、农林水支出</w:t>
      </w:r>
      <w:r>
        <w:rPr>
          <w:rFonts w:hint="eastAsia" w:ascii="仿宋_GB2312" w:eastAsia="仿宋_GB2312"/>
          <w:sz w:val="32"/>
          <w:szCs w:val="32"/>
          <w:lang w:eastAsia="zh-CN"/>
        </w:rPr>
        <w:t>、</w:t>
      </w:r>
      <w:r>
        <w:rPr>
          <w:rFonts w:hint="eastAsia" w:ascii="仿宋_GB2312" w:eastAsia="仿宋_GB2312"/>
          <w:sz w:val="32"/>
          <w:szCs w:val="32"/>
        </w:rPr>
        <w:t>交通运输支出都有增加。原因是公务员人员调动，工资增加；农村公路项目支出增加。收入包括：一般公共预算拨款收入2332.78万元，上年结转3704.23万元；政府性基金预算拨款收入0.00万元，上年结转0.00万元。支出包括： 社会保障和就业支出33.16万元， 卫生健康支出15.29万元， 农林水支出409.61万元， 交通运输支出5570.21万元， 住房保障支出8.73万元。</w:t>
      </w:r>
    </w:p>
    <w:p>
      <w:pPr>
        <w:ind w:firstLine="645"/>
        <w:rPr>
          <w:rFonts w:ascii="仿宋_GB2312" w:eastAsia="仿宋_GB2312"/>
          <w:sz w:val="32"/>
          <w:szCs w:val="32"/>
        </w:rPr>
      </w:pPr>
      <w:r>
        <w:rPr>
          <w:rFonts w:ascii="仿宋_GB2312" w:eastAsia="仿宋_GB2312"/>
          <w:sz w:val="32"/>
          <w:szCs w:val="32"/>
        </w:rPr>
        <w:drawing>
          <wp:inline distT="0" distB="0" distL="0" distR="0">
            <wp:extent cx="4686300" cy="21526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686300" cy="2152650"/>
                    </a:xfrm>
                    <a:prstGeom prst="rect">
                      <a:avLst/>
                    </a:prstGeom>
                    <a:noFill/>
                    <a:ln>
                      <a:noFill/>
                    </a:ln>
                  </pic:spPr>
                </pic:pic>
              </a:graphicData>
            </a:graphic>
          </wp:inline>
        </w:drawing>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五、关于湟源县交通运输局（本级）2023年一般公共预算当年拨款情况说明</w:t>
      </w:r>
    </w:p>
    <w:p>
      <w:pPr>
        <w:ind w:firstLine="645"/>
        <w:rPr>
          <w:rFonts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ascii="仿宋_GB2312" w:eastAsia="仿宋_GB2312"/>
          <w:iCs/>
          <w:sz w:val="32"/>
          <w:szCs w:val="32"/>
        </w:rPr>
      </w:pPr>
      <w:r>
        <w:rPr>
          <w:rFonts w:hint="eastAsia" w:ascii="仿宋_GB2312" w:eastAsia="仿宋_GB2312"/>
          <w:sz w:val="32"/>
          <w:szCs w:val="32"/>
        </w:rPr>
        <w:t>湟源县交通运输局（本级）2023年一般公共预算当年拨款2332.78万元,比上年增加1837.50万元，主要是社会保障和就业支出、卫生健康、农林水支出</w:t>
      </w:r>
      <w:r>
        <w:rPr>
          <w:rFonts w:hint="eastAsia" w:ascii="仿宋_GB2312" w:eastAsia="仿宋_GB2312"/>
          <w:sz w:val="32"/>
          <w:szCs w:val="32"/>
          <w:lang w:eastAsia="zh-CN"/>
        </w:rPr>
        <w:t>、</w:t>
      </w:r>
      <w:r>
        <w:rPr>
          <w:rFonts w:hint="eastAsia" w:ascii="仿宋_GB2312" w:eastAsia="仿宋_GB2312"/>
          <w:sz w:val="32"/>
          <w:szCs w:val="32"/>
        </w:rPr>
        <w:t>交通运输支出都有增加。原因是公务员人员调动，工资增加；农村公路项目支出增加。</w:t>
      </w:r>
      <w:r>
        <w:rPr>
          <w:rFonts w:ascii="仿宋_GB2312" w:eastAsia="仿宋_GB2312"/>
          <w:iCs/>
          <w:sz w:val="32"/>
          <w:szCs w:val="32"/>
        </w:rPr>
        <w:drawing>
          <wp:inline distT="0" distB="0" distL="0" distR="0">
            <wp:extent cx="4476750" cy="15335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476750" cy="1533525"/>
                    </a:xfrm>
                    <a:prstGeom prst="rect">
                      <a:avLst/>
                    </a:prstGeom>
                    <a:noFill/>
                    <a:ln>
                      <a:noFill/>
                    </a:ln>
                  </pic:spPr>
                </pic:pic>
              </a:graphicData>
            </a:graphic>
          </wp:inline>
        </w:drawing>
      </w:r>
    </w:p>
    <w:p>
      <w:pPr>
        <w:ind w:firstLine="645"/>
        <w:rPr>
          <w:rFonts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ascii="仿宋_GB2312" w:eastAsia="仿宋_GB2312"/>
          <w:sz w:val="32"/>
          <w:szCs w:val="32"/>
        </w:rPr>
      </w:pPr>
      <w:r>
        <w:rPr>
          <w:rFonts w:hint="eastAsia" w:ascii="仿宋_GB2312" w:eastAsia="仿宋_GB2312"/>
          <w:sz w:val="32"/>
          <w:szCs w:val="32"/>
        </w:rPr>
        <w:t>社会保障和就业支出33.16万元，占1.42%；卫生健康支出12.29万元，占0.53%；农林水支出400.00万元，占17.15%；交通运输支出1878.59万元，占80.53%；住房保障支出8.73万元，占0.37%。</w:t>
      </w:r>
    </w:p>
    <w:p>
      <w:pPr>
        <w:ind w:firstLine="645"/>
        <w:rPr>
          <w:rFonts w:ascii="仿宋_GB2312" w:eastAsia="仿宋_GB2312"/>
          <w:sz w:val="32"/>
          <w:szCs w:val="32"/>
        </w:rPr>
      </w:pPr>
      <w:r>
        <w:rPr>
          <w:rFonts w:ascii="仿宋_GB2312" w:eastAsia="仿宋_GB2312"/>
          <w:sz w:val="32"/>
          <w:szCs w:val="32"/>
        </w:rPr>
        <w:drawing>
          <wp:inline distT="0" distB="0" distL="0" distR="0">
            <wp:extent cx="4648200" cy="21336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648200" cy="2133600"/>
                    </a:xfrm>
                    <a:prstGeom prst="rect">
                      <a:avLst/>
                    </a:prstGeom>
                    <a:noFill/>
                    <a:ln>
                      <a:noFill/>
                    </a:ln>
                  </pic:spPr>
                </pic:pic>
              </a:graphicData>
            </a:graphic>
          </wp:inline>
        </w:drawing>
      </w:r>
    </w:p>
    <w:p>
      <w:pPr>
        <w:ind w:firstLine="645"/>
        <w:rPr>
          <w:rFonts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eastAsia="zh-CN"/>
        </w:rPr>
      </w:pPr>
      <w:r>
        <w:rPr>
          <w:rFonts w:hint="eastAsia" w:ascii="仿宋_GB2312" w:eastAsia="仿宋_GB2312"/>
          <w:sz w:val="32"/>
          <w:szCs w:val="32"/>
        </w:rPr>
        <w:t>1、社会保障和就业支出（类）行政事业单位养老支出（款）机关事业单位基本养老保险缴费支出（项）2023年预算数为10.03万元，比上年增加0.30万元，增长3.08%。主要是人员变动，基数调整</w:t>
      </w:r>
      <w:r>
        <w:rPr>
          <w:rFonts w:hint="eastAsia" w:ascii="仿宋_GB2312" w:eastAsia="仿宋_GB2312"/>
          <w:sz w:val="32"/>
          <w:szCs w:val="32"/>
          <w:lang w:eastAsia="zh-CN"/>
        </w:rPr>
        <w:t>。</w:t>
      </w:r>
    </w:p>
    <w:p>
      <w:pPr>
        <w:ind w:firstLine="645"/>
        <w:rPr>
          <w:rFonts w:hint="eastAsia" w:ascii="仿宋_GB2312" w:eastAsia="仿宋_GB2312"/>
          <w:sz w:val="32"/>
          <w:szCs w:val="32"/>
          <w:lang w:eastAsia="zh-CN"/>
        </w:rPr>
      </w:pPr>
      <w:r>
        <w:rPr>
          <w:rFonts w:hint="eastAsia" w:ascii="仿宋_GB2312" w:eastAsia="仿宋_GB2312"/>
          <w:sz w:val="32"/>
          <w:szCs w:val="32"/>
        </w:rPr>
        <w:t>2、社会保障和就业支出（类）行政事业单位养老支出（款）机关事业单位职业年金缴费支出（项）2023年预算数为5.02万元，比上年增加0.15万元，增长3.08%。主要是人员变动，基数调整</w:t>
      </w:r>
      <w:r>
        <w:rPr>
          <w:rFonts w:hint="eastAsia" w:ascii="仿宋_GB2312" w:eastAsia="仿宋_GB2312"/>
          <w:sz w:val="32"/>
          <w:szCs w:val="32"/>
          <w:lang w:eastAsia="zh-CN"/>
        </w:rPr>
        <w:t>。</w:t>
      </w:r>
    </w:p>
    <w:p>
      <w:pPr>
        <w:ind w:firstLine="645"/>
        <w:rPr>
          <w:rFonts w:hint="eastAsia" w:ascii="仿宋_GB2312" w:eastAsia="仿宋_GB2312"/>
          <w:sz w:val="32"/>
          <w:szCs w:val="32"/>
          <w:lang w:eastAsia="zh-CN"/>
        </w:rPr>
      </w:pPr>
      <w:r>
        <w:rPr>
          <w:rFonts w:hint="eastAsia" w:ascii="仿宋_GB2312" w:eastAsia="仿宋_GB2312"/>
          <w:sz w:val="32"/>
          <w:szCs w:val="32"/>
        </w:rPr>
        <w:t>3、社会保障和就业支出（类）行政事业单位养老支出（款）其他行政事业单位养老支出（项）2023年预算数为18.01万元，比上年增加5.29万元，增长41.59%。主要是人员变动，基数调整</w:t>
      </w:r>
      <w:r>
        <w:rPr>
          <w:rFonts w:hint="eastAsia" w:ascii="仿宋_GB2312" w:eastAsia="仿宋_GB2312"/>
          <w:sz w:val="32"/>
          <w:szCs w:val="32"/>
          <w:lang w:eastAsia="zh-CN"/>
        </w:rPr>
        <w:t>。</w:t>
      </w:r>
    </w:p>
    <w:p>
      <w:pPr>
        <w:ind w:firstLine="645"/>
        <w:rPr>
          <w:rFonts w:hint="eastAsia" w:ascii="仿宋_GB2312" w:eastAsia="仿宋_GB2312"/>
          <w:sz w:val="32"/>
          <w:szCs w:val="32"/>
          <w:lang w:eastAsia="zh-CN"/>
        </w:rPr>
      </w:pPr>
      <w:r>
        <w:rPr>
          <w:rFonts w:hint="eastAsia" w:ascii="仿宋_GB2312" w:eastAsia="仿宋_GB2312"/>
          <w:sz w:val="32"/>
          <w:szCs w:val="32"/>
        </w:rPr>
        <w:t>4、社会保障和就业支出（类）其他社会保障和就业支出（款）其他社会保障和就业支出（项）2023年预算数为0.11万元，比上年减少0.04万元，下降26.67%。主要是人员变动，基数调整</w:t>
      </w:r>
      <w:r>
        <w:rPr>
          <w:rFonts w:hint="eastAsia" w:ascii="仿宋_GB2312" w:eastAsia="仿宋_GB2312"/>
          <w:sz w:val="32"/>
          <w:szCs w:val="32"/>
          <w:lang w:eastAsia="zh-CN"/>
        </w:rPr>
        <w:t>。</w:t>
      </w:r>
    </w:p>
    <w:p>
      <w:pPr>
        <w:ind w:firstLine="645"/>
        <w:rPr>
          <w:rFonts w:hint="eastAsia" w:ascii="仿宋_GB2312" w:eastAsia="仿宋_GB2312"/>
          <w:sz w:val="32"/>
          <w:szCs w:val="32"/>
          <w:lang w:eastAsia="zh-CN"/>
        </w:rPr>
      </w:pPr>
      <w:r>
        <w:rPr>
          <w:rFonts w:hint="eastAsia" w:ascii="仿宋_GB2312" w:eastAsia="仿宋_GB2312"/>
          <w:sz w:val="32"/>
          <w:szCs w:val="32"/>
        </w:rPr>
        <w:t>5、卫生健康支出（类）行政事业单位医疗（款）行政单位医疗（项）2023年预算数为7.94万元，比上年减少0.80万元，下降9.15%。主要是人员变动，基数调整</w:t>
      </w:r>
      <w:r>
        <w:rPr>
          <w:rFonts w:hint="eastAsia" w:ascii="仿宋_GB2312" w:eastAsia="仿宋_GB2312"/>
          <w:sz w:val="32"/>
          <w:szCs w:val="32"/>
          <w:lang w:eastAsia="zh-CN"/>
        </w:rPr>
        <w:t>。</w:t>
      </w:r>
    </w:p>
    <w:p>
      <w:pPr>
        <w:ind w:firstLine="645"/>
        <w:rPr>
          <w:rFonts w:hint="eastAsia" w:ascii="仿宋_GB2312" w:eastAsia="仿宋_GB2312"/>
          <w:sz w:val="32"/>
          <w:szCs w:val="32"/>
          <w:lang w:eastAsia="zh-CN"/>
        </w:rPr>
      </w:pPr>
      <w:r>
        <w:rPr>
          <w:rFonts w:hint="eastAsia" w:ascii="仿宋_GB2312" w:eastAsia="仿宋_GB2312"/>
          <w:sz w:val="32"/>
          <w:szCs w:val="32"/>
        </w:rPr>
        <w:t>6、卫生健康支出（类）行政事业单位医疗（款）公务员医疗补助（项）2023年预算数为4.35万元，比上年减少1.56万元，下降26.40%。主要是人员变动，基数调整</w:t>
      </w:r>
      <w:r>
        <w:rPr>
          <w:rFonts w:hint="eastAsia" w:ascii="仿宋_GB2312" w:eastAsia="仿宋_GB2312"/>
          <w:sz w:val="32"/>
          <w:szCs w:val="32"/>
          <w:lang w:eastAsia="zh-CN"/>
        </w:rPr>
        <w:t>。</w:t>
      </w:r>
    </w:p>
    <w:p>
      <w:pPr>
        <w:ind w:firstLine="645"/>
        <w:rPr>
          <w:rFonts w:ascii="仿宋_GB2312" w:eastAsia="仿宋_GB2312"/>
          <w:sz w:val="32"/>
          <w:szCs w:val="32"/>
        </w:rPr>
      </w:pPr>
      <w:r>
        <w:rPr>
          <w:rFonts w:hint="eastAsia" w:ascii="仿宋_GB2312" w:eastAsia="仿宋_GB2312"/>
          <w:sz w:val="32"/>
          <w:szCs w:val="32"/>
        </w:rPr>
        <w:t>7、农林水支出（类）巩固脱贫攻坚成果衔接乡村振兴（款）其他巩固脱贫攻坚成果衔接乡村振兴支出（项）2023年预算数为400.00万元，比上年增加400.00万元，增长100.00%。</w:t>
      </w:r>
      <w:bookmarkStart w:id="6" w:name="_Hlk136877850"/>
      <w:r>
        <w:rPr>
          <w:rFonts w:hint="eastAsia" w:ascii="仿宋_GB2312" w:eastAsia="仿宋_GB2312"/>
          <w:sz w:val="32"/>
          <w:szCs w:val="32"/>
        </w:rPr>
        <w:t>主要是2</w:t>
      </w:r>
      <w:r>
        <w:rPr>
          <w:rFonts w:ascii="仿宋_GB2312" w:eastAsia="仿宋_GB2312"/>
          <w:sz w:val="32"/>
          <w:szCs w:val="32"/>
        </w:rPr>
        <w:t>023</w:t>
      </w:r>
      <w:r>
        <w:rPr>
          <w:rFonts w:hint="eastAsia" w:ascii="仿宋_GB2312" w:eastAsia="仿宋_GB2312"/>
          <w:sz w:val="32"/>
          <w:szCs w:val="32"/>
        </w:rPr>
        <w:t>年拨入乡村振兴衔接资金用于农村公路项目建设，其全部用于项目建设支出。</w:t>
      </w:r>
    </w:p>
    <w:bookmarkEnd w:id="6"/>
    <w:p>
      <w:pPr>
        <w:ind w:firstLine="645"/>
        <w:rPr>
          <w:rFonts w:ascii="仿宋_GB2312" w:eastAsia="仿宋_GB2312"/>
          <w:sz w:val="32"/>
          <w:szCs w:val="32"/>
        </w:rPr>
      </w:pPr>
      <w:r>
        <w:rPr>
          <w:rFonts w:hint="eastAsia" w:ascii="仿宋_GB2312" w:eastAsia="仿宋_GB2312"/>
          <w:sz w:val="32"/>
          <w:szCs w:val="32"/>
        </w:rPr>
        <w:t>8、交通运输支出（类）公路水路运输（款）行政运行（项）2023年预算数为142.58万元，比上年减少7.15万元，下降4.78%。主要是压缩公用经费支出。</w:t>
      </w:r>
    </w:p>
    <w:p>
      <w:pPr>
        <w:ind w:firstLine="645"/>
        <w:rPr>
          <w:rFonts w:ascii="仿宋_GB2312" w:eastAsia="仿宋_GB2312"/>
          <w:sz w:val="32"/>
          <w:szCs w:val="32"/>
        </w:rPr>
      </w:pPr>
      <w:r>
        <w:rPr>
          <w:rFonts w:hint="eastAsia" w:ascii="仿宋_GB2312" w:eastAsia="仿宋_GB2312"/>
          <w:sz w:val="32"/>
          <w:szCs w:val="32"/>
        </w:rPr>
        <w:t>9、交通运输支出（类）公路水路运输（款）其他公路水路运输支出（项）2023年预算数为50.00万元，比上年增加10.00万元，增长25.00%。主要是公交公司冷线营运补贴增加。</w:t>
      </w:r>
    </w:p>
    <w:p>
      <w:pPr>
        <w:ind w:firstLine="645"/>
        <w:rPr>
          <w:rFonts w:ascii="仿宋_GB2312" w:eastAsia="仿宋_GB2312"/>
          <w:sz w:val="32"/>
          <w:szCs w:val="32"/>
        </w:rPr>
      </w:pPr>
      <w:r>
        <w:rPr>
          <w:rFonts w:hint="eastAsia" w:ascii="仿宋_GB2312" w:eastAsia="仿宋_GB2312"/>
          <w:sz w:val="32"/>
          <w:szCs w:val="32"/>
        </w:rPr>
        <w:t>10、交通运输支出（类）车辆购置税支出（款）车辆购置税用于农村公路建设支出（项）2023年预算数为1686.01万元，比上年增加1431.44万元，增长562.30%。主要是2</w:t>
      </w:r>
      <w:r>
        <w:rPr>
          <w:rFonts w:ascii="仿宋_GB2312" w:eastAsia="仿宋_GB2312"/>
          <w:sz w:val="32"/>
          <w:szCs w:val="32"/>
        </w:rPr>
        <w:t>023</w:t>
      </w:r>
      <w:r>
        <w:rPr>
          <w:rFonts w:hint="eastAsia" w:ascii="仿宋_GB2312" w:eastAsia="仿宋_GB2312"/>
          <w:sz w:val="32"/>
          <w:szCs w:val="32"/>
        </w:rPr>
        <w:t>年车辆购置税拨入，农村公路项目增加。</w:t>
      </w:r>
    </w:p>
    <w:p>
      <w:pPr>
        <w:ind w:firstLine="645"/>
        <w:rPr>
          <w:rFonts w:ascii="仿宋_GB2312" w:eastAsia="仿宋_GB2312"/>
          <w:sz w:val="32"/>
          <w:szCs w:val="32"/>
        </w:rPr>
      </w:pPr>
      <w:r>
        <w:rPr>
          <w:rFonts w:hint="eastAsia" w:ascii="仿宋_GB2312" w:eastAsia="仿宋_GB2312"/>
          <w:sz w:val="32"/>
          <w:szCs w:val="32"/>
        </w:rPr>
        <w:t>11、住房保障支出（类）住房改革支出（款）住房公积金（项）2023年预算数为8.73万元，比上年减少0.13万元，下降1.47%。主要是人员调整，基数变动。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rPr>
        <w:t>湟源县交通运输局（本级）2023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ascii="仿宋_GB2312" w:eastAsia="仿宋_GB2312"/>
          <w:sz w:val="32"/>
          <w:szCs w:val="32"/>
        </w:rPr>
      </w:pPr>
      <w:r>
        <w:rPr>
          <w:rFonts w:hint="eastAsia" w:ascii="仿宋_GB2312" w:eastAsia="仿宋_GB2312"/>
          <w:sz w:val="32"/>
          <w:szCs w:val="32"/>
        </w:rPr>
        <w:t>湟源县交通运输局（本级）2023年一般公共预算基本支出152.77万元，其中：</w:t>
      </w:r>
    </w:p>
    <w:p>
      <w:pPr>
        <w:ind w:firstLine="640" w:firstLineChars="200"/>
        <w:rPr>
          <w:rFonts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rPr>
        <w:t>143.12万元，主要包括：基本工资25.01万元、津贴补贴29.74万元、奖金27.57万元、机关事业单位基本养老保险缴费10.03万元、职业年金缴费5.02万元、职工基本医疗保险缴费3.54万元、公务员医疗补助缴费4.35万元、其他社会保障缴费0.11万元、住房公积金8.73万元、其他工资福利支出6.60万元、退休费17.16万元、生活补助0.84万元、医疗费补助4.41万元；</w:t>
      </w:r>
    </w:p>
    <w:p>
      <w:pPr>
        <w:ind w:firstLine="640" w:firstLineChars="200"/>
        <w:rPr>
          <w:rFonts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rPr>
        <w:t>9.65万元，主要包括：办公费0.55万元、水费0.10万元、电费0.10万元、邮电费0.40万元、取暖费0.50万元、差旅费0.45万元、公务接待费0.15万元、工会经费1.09万元、公务用车运行维护费1.00万元、其他交通费用4.76万元、其他商品和服务支出0.55万元。</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rPr>
        <w:t>湟源县交通运输局（本级）2023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ascii="仿宋_GB2312" w:eastAsia="仿宋_GB2312"/>
          <w:sz w:val="32"/>
          <w:szCs w:val="32"/>
        </w:rPr>
      </w:pPr>
      <w:r>
        <w:rPr>
          <w:rFonts w:hint="eastAsia" w:ascii="仿宋_GB2312" w:eastAsia="仿宋_GB2312"/>
          <w:sz w:val="32"/>
          <w:szCs w:val="32"/>
        </w:rPr>
        <w:t>湟源县交通运输局（本级）2023年一般公共预算“三公”经费预算数为1.15万元，比上年减少0.03万元，其中：因公出国（境）费0.00万元，增加0.00万元；公务用车购置及运行费1.00万元，增加0.00万元；公务接待费0.15万元，减少0.03万元。2023年“三公”经费预算比上年减少主要是压缩经费支出。</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rPr>
        <w:t>湟源县交通运输局（本级）2023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ascii="仿宋_GB2312" w:eastAsia="仿宋_GB2312"/>
          <w:sz w:val="32"/>
          <w:szCs w:val="32"/>
        </w:rPr>
      </w:pPr>
      <w:r>
        <w:rPr>
          <w:rFonts w:hint="eastAsia" w:ascii="仿宋_GB2312" w:eastAsia="仿宋_GB2312"/>
          <w:sz w:val="32"/>
          <w:szCs w:val="32"/>
        </w:rPr>
        <w:t>湟源县交通运输局（本级）2023年没有使用政府性基金预算拨款安排的支出。</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2023年湟源县交通运输局（本级）机关运行经费财政拨款预算9.65万元，比上年预算减少2.21万元，下降18.63%。主要是压缩经费，办公用品购置减少。</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2023年湟源县交通运输局（本级）各单位政府采购预算总额3987.61万元，其中：政府采购货物预算13.61万元、政府采购工程预算387</w:t>
      </w:r>
      <w:r>
        <w:rPr>
          <w:rFonts w:hint="eastAsia" w:ascii="仿宋_GB2312" w:hAnsi="仿宋" w:eastAsia="仿宋_GB2312"/>
          <w:spacing w:val="-6"/>
          <w:kern w:val="2"/>
          <w:sz w:val="32"/>
          <w:szCs w:val="32"/>
          <w:lang w:val="en-US" w:eastAsia="zh-CN"/>
        </w:rPr>
        <w:t>7.00</w:t>
      </w:r>
      <w:r>
        <w:rPr>
          <w:rFonts w:hint="eastAsia" w:ascii="仿宋_GB2312" w:hAnsi="仿宋" w:eastAsia="仿宋_GB2312"/>
          <w:spacing w:val="-6"/>
          <w:kern w:val="2"/>
          <w:sz w:val="32"/>
          <w:szCs w:val="32"/>
          <w:lang w:val="en-US"/>
        </w:rPr>
        <w:t>万元、政府采购服务预算9</w:t>
      </w:r>
      <w:r>
        <w:rPr>
          <w:rFonts w:hint="eastAsia" w:ascii="仿宋_GB2312" w:hAnsi="仿宋" w:eastAsia="仿宋_GB2312"/>
          <w:spacing w:val="-6"/>
          <w:kern w:val="2"/>
          <w:sz w:val="32"/>
          <w:szCs w:val="32"/>
          <w:lang w:val="en-US" w:eastAsia="zh-CN"/>
        </w:rPr>
        <w:t>7.00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截至2023年2月底，湟源县交通运输局（本级）所属各预算单位共有车辆</w:t>
      </w:r>
      <w:r>
        <w:rPr>
          <w:rFonts w:ascii="仿宋_GB2312" w:hAnsi="仿宋" w:eastAsia="仿宋_GB2312"/>
          <w:spacing w:val="-6"/>
          <w:kern w:val="2"/>
          <w:sz w:val="32"/>
          <w:szCs w:val="32"/>
          <w:lang w:val="en-US"/>
        </w:rPr>
        <w:t>1</w:t>
      </w:r>
      <w:r>
        <w:rPr>
          <w:rFonts w:hint="eastAsia" w:ascii="仿宋_GB2312" w:hAnsi="仿宋" w:eastAsia="仿宋_GB2312"/>
          <w:spacing w:val="-6"/>
          <w:kern w:val="2"/>
          <w:sz w:val="32"/>
          <w:szCs w:val="32"/>
          <w:lang w:val="en-US"/>
        </w:rPr>
        <w:t>辆，其中，省级领导干部用车</w:t>
      </w:r>
      <w:r>
        <w:rPr>
          <w:rFonts w:ascii="仿宋_GB2312" w:hAnsi="仿宋" w:eastAsia="仿宋_GB2312"/>
          <w:spacing w:val="-6"/>
          <w:kern w:val="2"/>
          <w:sz w:val="32"/>
          <w:szCs w:val="32"/>
          <w:lang w:val="en-US"/>
        </w:rPr>
        <w:t>0</w:t>
      </w:r>
      <w:r>
        <w:rPr>
          <w:rFonts w:hint="eastAsia" w:ascii="仿宋_GB2312" w:hAnsi="仿宋" w:eastAsia="仿宋_GB2312"/>
          <w:spacing w:val="-6"/>
          <w:kern w:val="2"/>
          <w:sz w:val="32"/>
          <w:szCs w:val="32"/>
          <w:lang w:val="en-US"/>
        </w:rPr>
        <w:t>辆、厅级领导干部用车</w:t>
      </w:r>
      <w:r>
        <w:rPr>
          <w:rFonts w:ascii="仿宋_GB2312" w:hAnsi="仿宋" w:eastAsia="仿宋_GB2312"/>
          <w:spacing w:val="-6"/>
          <w:kern w:val="2"/>
          <w:sz w:val="32"/>
          <w:szCs w:val="32"/>
          <w:lang w:val="en-US"/>
        </w:rPr>
        <w:t>0</w:t>
      </w:r>
      <w:r>
        <w:rPr>
          <w:rFonts w:hint="eastAsia" w:ascii="仿宋_GB2312" w:hAnsi="仿宋" w:eastAsia="仿宋_GB2312"/>
          <w:spacing w:val="-6"/>
          <w:kern w:val="2"/>
          <w:sz w:val="32"/>
          <w:szCs w:val="32"/>
          <w:lang w:val="en-US"/>
        </w:rPr>
        <w:t>辆、一般公务用车</w:t>
      </w:r>
      <w:r>
        <w:rPr>
          <w:rFonts w:ascii="仿宋_GB2312" w:hAnsi="仿宋" w:eastAsia="仿宋_GB2312"/>
          <w:spacing w:val="-6"/>
          <w:kern w:val="2"/>
          <w:sz w:val="32"/>
          <w:szCs w:val="32"/>
          <w:lang w:val="en-US"/>
        </w:rPr>
        <w:t>1</w:t>
      </w:r>
      <w:r>
        <w:rPr>
          <w:rFonts w:hint="eastAsia" w:ascii="仿宋_GB2312" w:hAnsi="仿宋" w:eastAsia="仿宋_GB2312"/>
          <w:spacing w:val="-6"/>
          <w:kern w:val="2"/>
          <w:sz w:val="32"/>
          <w:szCs w:val="32"/>
          <w:lang w:val="en-US"/>
        </w:rPr>
        <w:t>辆、一般执法执勤用车</w:t>
      </w:r>
      <w:r>
        <w:rPr>
          <w:rFonts w:ascii="仿宋_GB2312" w:hAnsi="仿宋" w:eastAsia="仿宋_GB2312"/>
          <w:spacing w:val="-6"/>
          <w:kern w:val="2"/>
          <w:sz w:val="32"/>
          <w:szCs w:val="32"/>
          <w:lang w:val="en-US"/>
        </w:rPr>
        <w:t>0</w:t>
      </w:r>
      <w:r>
        <w:rPr>
          <w:rFonts w:hint="eastAsia" w:ascii="仿宋_GB2312" w:hAnsi="仿宋" w:eastAsia="仿宋_GB2312"/>
          <w:spacing w:val="-6"/>
          <w:kern w:val="2"/>
          <w:sz w:val="32"/>
          <w:szCs w:val="32"/>
          <w:lang w:val="en-US"/>
        </w:rPr>
        <w:t>辆、特种专业技术用车</w:t>
      </w:r>
      <w:r>
        <w:rPr>
          <w:rFonts w:ascii="仿宋_GB2312" w:hAnsi="仿宋" w:eastAsia="仿宋_GB2312"/>
          <w:spacing w:val="-6"/>
          <w:kern w:val="2"/>
          <w:sz w:val="32"/>
          <w:szCs w:val="32"/>
          <w:lang w:val="en-US"/>
        </w:rPr>
        <w:t>0</w:t>
      </w:r>
      <w:r>
        <w:rPr>
          <w:rFonts w:hint="eastAsia" w:ascii="仿宋_GB2312" w:hAnsi="仿宋" w:eastAsia="仿宋_GB2312"/>
          <w:spacing w:val="-6"/>
          <w:kern w:val="2"/>
          <w:sz w:val="32"/>
          <w:szCs w:val="32"/>
          <w:lang w:val="en-US"/>
        </w:rPr>
        <w:t>辆、其他用车</w:t>
      </w:r>
      <w:r>
        <w:rPr>
          <w:rFonts w:ascii="仿宋_GB2312" w:hAnsi="仿宋" w:eastAsia="仿宋_GB2312"/>
          <w:spacing w:val="-6"/>
          <w:kern w:val="2"/>
          <w:sz w:val="32"/>
          <w:szCs w:val="32"/>
          <w:lang w:val="en-US"/>
        </w:rPr>
        <w:t>0</w:t>
      </w:r>
      <w:r>
        <w:rPr>
          <w:rFonts w:hint="eastAsia" w:ascii="仿宋_GB2312" w:hAnsi="仿宋" w:eastAsia="仿宋_GB2312"/>
          <w:spacing w:val="-6"/>
          <w:kern w:val="2"/>
          <w:sz w:val="32"/>
          <w:szCs w:val="32"/>
          <w:lang w:val="en-US"/>
        </w:rPr>
        <w:t>辆。单价50万元以上通用设备</w:t>
      </w:r>
      <w:r>
        <w:rPr>
          <w:rFonts w:ascii="仿宋_GB2312" w:hAnsi="仿宋" w:eastAsia="仿宋_GB2312"/>
          <w:spacing w:val="-6"/>
          <w:kern w:val="2"/>
          <w:sz w:val="32"/>
          <w:szCs w:val="32"/>
          <w:lang w:val="en-US"/>
        </w:rPr>
        <w:t>0</w:t>
      </w:r>
      <w:r>
        <w:rPr>
          <w:rFonts w:hint="eastAsia" w:ascii="仿宋_GB2312" w:hAnsi="仿宋" w:eastAsia="仿宋_GB2312"/>
          <w:spacing w:val="-6"/>
          <w:kern w:val="2"/>
          <w:sz w:val="32"/>
          <w:szCs w:val="32"/>
          <w:lang w:val="en-US"/>
        </w:rPr>
        <w:t>台（套），单价100万元以上专用设备</w:t>
      </w:r>
      <w:r>
        <w:rPr>
          <w:rFonts w:ascii="仿宋_GB2312" w:hAnsi="仿宋" w:eastAsia="仿宋_GB2312"/>
          <w:spacing w:val="-6"/>
          <w:kern w:val="2"/>
          <w:sz w:val="32"/>
          <w:szCs w:val="32"/>
          <w:lang w:val="en-US"/>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2023年湟源县交通运输局（本级）预算均实行绩效目标管理，涉及项目6个，预算金额2180.01万元。</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p>
    <w:tbl>
      <w:tblPr>
        <w:tblStyle w:val="5"/>
        <w:tblW w:w="9989" w:type="dxa"/>
        <w:jc w:val="center"/>
        <w:tblLayout w:type="fixed"/>
        <w:tblCellMar>
          <w:top w:w="0" w:type="dxa"/>
          <w:left w:w="108" w:type="dxa"/>
          <w:bottom w:w="0" w:type="dxa"/>
          <w:right w:w="108" w:type="dxa"/>
        </w:tblCellMar>
      </w:tblPr>
      <w:tblGrid>
        <w:gridCol w:w="1162"/>
        <w:gridCol w:w="1144"/>
        <w:gridCol w:w="1602"/>
        <w:gridCol w:w="776"/>
        <w:gridCol w:w="867"/>
        <w:gridCol w:w="1582"/>
        <w:gridCol w:w="911"/>
        <w:gridCol w:w="978"/>
        <w:gridCol w:w="967"/>
      </w:tblGrid>
      <w:tr>
        <w:tblPrEx>
          <w:tblCellMar>
            <w:top w:w="0" w:type="dxa"/>
            <w:left w:w="108" w:type="dxa"/>
            <w:bottom w:w="0" w:type="dxa"/>
            <w:right w:w="108" w:type="dxa"/>
          </w:tblCellMar>
        </w:tblPrEx>
        <w:trPr>
          <w:trHeight w:val="420" w:hRule="atLeast"/>
          <w:jc w:val="center"/>
        </w:trPr>
        <w:tc>
          <w:tcPr>
            <w:tcW w:w="9989" w:type="dxa"/>
            <w:gridSpan w:val="9"/>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32"/>
                <w:szCs w:val="32"/>
              </w:rPr>
            </w:pPr>
            <w:r>
              <w:rPr>
                <w:rFonts w:hint="eastAsia" w:ascii="黑体" w:hAnsi="宋体" w:eastAsia="黑体" w:cs="黑体"/>
                <w:b/>
                <w:bCs/>
                <w:color w:val="000000"/>
                <w:kern w:val="0"/>
                <w:sz w:val="32"/>
                <w:szCs w:val="32"/>
                <w:lang w:bidi="ar"/>
              </w:rPr>
              <w:t xml:space="preserve"> 部门预算项目支出绩效目标公开表</w:t>
            </w:r>
          </w:p>
        </w:tc>
      </w:tr>
      <w:tr>
        <w:tblPrEx>
          <w:tblCellMar>
            <w:top w:w="0" w:type="dxa"/>
            <w:left w:w="108" w:type="dxa"/>
            <w:bottom w:w="0" w:type="dxa"/>
            <w:right w:w="108" w:type="dxa"/>
          </w:tblCellMar>
        </w:tblPrEx>
        <w:trPr>
          <w:trHeight w:val="280" w:hRule="atLeast"/>
          <w:jc w:val="center"/>
        </w:trPr>
        <w:tc>
          <w:tcPr>
            <w:tcW w:w="3908" w:type="dxa"/>
            <w:gridSpan w:val="3"/>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预算年度：2023</w:t>
            </w:r>
          </w:p>
        </w:tc>
        <w:tc>
          <w:tcPr>
            <w:tcW w:w="776"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867"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1582"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911" w:type="dxa"/>
            <w:tcBorders>
              <w:top w:val="nil"/>
              <w:left w:val="nil"/>
              <w:bottom w:val="nil"/>
              <w:right w:val="nil"/>
            </w:tcBorders>
            <w:shd w:val="clear" w:color="auto" w:fill="auto"/>
            <w:vAlign w:val="center"/>
          </w:tcPr>
          <w:p>
            <w:pPr>
              <w:jc w:val="center"/>
              <w:rPr>
                <w:rFonts w:ascii="宋体" w:hAnsi="宋体" w:cs="宋体"/>
                <w:color w:val="000000"/>
                <w:sz w:val="18"/>
                <w:szCs w:val="18"/>
              </w:rPr>
            </w:pPr>
          </w:p>
        </w:tc>
        <w:tc>
          <w:tcPr>
            <w:tcW w:w="1945" w:type="dxa"/>
            <w:gridSpan w:val="2"/>
            <w:tcBorders>
              <w:top w:val="nil"/>
              <w:left w:val="nil"/>
              <w:bottom w:val="nil"/>
              <w:right w:val="nil"/>
            </w:tcBorders>
            <w:shd w:val="clear" w:color="auto" w:fill="auto"/>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金额单位：万元</w:t>
            </w:r>
          </w:p>
        </w:tc>
      </w:tr>
      <w:tr>
        <w:tblPrEx>
          <w:tblCellMar>
            <w:top w:w="0" w:type="dxa"/>
            <w:left w:w="108" w:type="dxa"/>
            <w:bottom w:w="0" w:type="dxa"/>
            <w:right w:w="108" w:type="dxa"/>
          </w:tblCellMar>
        </w:tblPrEx>
        <w:trPr>
          <w:trHeight w:val="280" w:hRule="atLeast"/>
          <w:jc w:val="center"/>
        </w:trPr>
        <w:tc>
          <w:tcPr>
            <w:tcW w:w="11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项目名称</w:t>
            </w:r>
          </w:p>
        </w:tc>
        <w:tc>
          <w:tcPr>
            <w:tcW w:w="11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批复数</w:t>
            </w:r>
          </w:p>
        </w:tc>
        <w:tc>
          <w:tcPr>
            <w:tcW w:w="16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绩效目标</w:t>
            </w:r>
          </w:p>
        </w:tc>
        <w:tc>
          <w:tcPr>
            <w:tcW w:w="32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w:t>
            </w:r>
          </w:p>
        </w:tc>
        <w:tc>
          <w:tcPr>
            <w:tcW w:w="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绩效指标性质</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绩效指标值</w:t>
            </w:r>
          </w:p>
        </w:tc>
        <w:tc>
          <w:tcPr>
            <w:tcW w:w="9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绩效度量单位</w:t>
            </w:r>
          </w:p>
        </w:tc>
      </w:tr>
      <w:tr>
        <w:tblPrEx>
          <w:tblCellMar>
            <w:top w:w="0" w:type="dxa"/>
            <w:left w:w="108" w:type="dxa"/>
            <w:bottom w:w="0" w:type="dxa"/>
            <w:right w:w="108" w:type="dxa"/>
          </w:tblCellMar>
        </w:tblPrEx>
        <w:trPr>
          <w:trHeight w:val="280"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6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一级指标</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二级指标</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三级指标</w:t>
            </w: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560" w:hRule="atLeast"/>
          <w:jc w:val="center"/>
        </w:trPr>
        <w:tc>
          <w:tcPr>
            <w:tcW w:w="11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车辆购置税收入补助地方资金</w:t>
            </w:r>
          </w:p>
        </w:tc>
        <w:tc>
          <w:tcPr>
            <w:tcW w:w="11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1,686.01</w:t>
            </w:r>
          </w:p>
        </w:tc>
        <w:tc>
          <w:tcPr>
            <w:tcW w:w="16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主要用于重点公路、一般公路、国防公路、部队进出口道路等项目建设</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时效指标</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按期完成投资</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生态效益指标</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交通建设符合环评审批要求</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1120"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服务对象满意度指标</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改善通行服务水平群众满意度</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80</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jc w:val="center"/>
        </w:trPr>
        <w:tc>
          <w:tcPr>
            <w:tcW w:w="11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财政衔接推进乡村振兴补助资金项目</w:t>
            </w:r>
          </w:p>
        </w:tc>
        <w:tc>
          <w:tcPr>
            <w:tcW w:w="11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400.00</w:t>
            </w:r>
          </w:p>
        </w:tc>
        <w:tc>
          <w:tcPr>
            <w:tcW w:w="16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推进乡村振兴，加快农村公路建设。</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质量指标</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资金使用合规性</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95</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社会效益指标</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公路安全水平</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92</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1120"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服务对象满意度指标</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改善通行服务水平群众满意度</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定性</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优良中低差</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人/户</w:t>
            </w:r>
          </w:p>
        </w:tc>
      </w:tr>
      <w:tr>
        <w:tblPrEx>
          <w:tblCellMar>
            <w:top w:w="0" w:type="dxa"/>
            <w:left w:w="108" w:type="dxa"/>
            <w:bottom w:w="0" w:type="dxa"/>
            <w:right w:w="108" w:type="dxa"/>
          </w:tblCellMar>
        </w:tblPrEx>
        <w:trPr>
          <w:trHeight w:val="1400" w:hRule="atLeast"/>
          <w:jc w:val="center"/>
        </w:trPr>
        <w:tc>
          <w:tcPr>
            <w:tcW w:w="11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2023年公交卡、老年卡、学生卡补助</w:t>
            </w:r>
          </w:p>
        </w:tc>
        <w:tc>
          <w:tcPr>
            <w:tcW w:w="11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20.00</w:t>
            </w:r>
          </w:p>
        </w:tc>
        <w:tc>
          <w:tcPr>
            <w:tcW w:w="16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　便利老百姓的出行，降低出行成本，保障出行安全，降低交通事故带来的一系列社会问题。</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质量指标</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保障安全出行，降低了交通事故带来的风险</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90</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w:t>
            </w:r>
          </w:p>
        </w:tc>
      </w:tr>
      <w:tr>
        <w:tblPrEx>
          <w:tblCellMar>
            <w:top w:w="0" w:type="dxa"/>
            <w:left w:w="108" w:type="dxa"/>
            <w:bottom w:w="0" w:type="dxa"/>
            <w:right w:w="108" w:type="dxa"/>
          </w:tblCellMar>
        </w:tblPrEx>
        <w:trPr>
          <w:trHeight w:val="840"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社会效益指标</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老百姓受益率高，社会稳定</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95</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w:t>
            </w:r>
          </w:p>
        </w:tc>
      </w:tr>
      <w:tr>
        <w:tblPrEx>
          <w:tblCellMar>
            <w:top w:w="0" w:type="dxa"/>
            <w:left w:w="108" w:type="dxa"/>
            <w:bottom w:w="0" w:type="dxa"/>
            <w:right w:w="108" w:type="dxa"/>
          </w:tblCellMar>
        </w:tblPrEx>
        <w:trPr>
          <w:trHeight w:val="840"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服务对象满意度指标</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老百姓对公交卡的使用程度</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定性</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优良中低差</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jc w:val="center"/>
        </w:trPr>
        <w:tc>
          <w:tcPr>
            <w:tcW w:w="11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2023年“冷线”营运补贴</w:t>
            </w:r>
          </w:p>
        </w:tc>
        <w:tc>
          <w:tcPr>
            <w:tcW w:w="11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30.00</w:t>
            </w:r>
          </w:p>
        </w:tc>
        <w:tc>
          <w:tcPr>
            <w:tcW w:w="16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对城关镇冷线营运补贴</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质量指标</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“冷线”营运使用率</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经济效益指标</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补贴线路收入</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10000</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元</w:t>
            </w:r>
          </w:p>
        </w:tc>
      </w:tr>
      <w:tr>
        <w:tblPrEx>
          <w:tblCellMar>
            <w:top w:w="0" w:type="dxa"/>
            <w:left w:w="108" w:type="dxa"/>
            <w:bottom w:w="0" w:type="dxa"/>
            <w:right w:w="108" w:type="dxa"/>
          </w:tblCellMar>
        </w:tblPrEx>
        <w:trPr>
          <w:trHeight w:val="840"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服务对象满意度指标</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服务对象满意度</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90</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jc w:val="center"/>
        </w:trPr>
        <w:tc>
          <w:tcPr>
            <w:tcW w:w="11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2023年局业务补助经费</w:t>
            </w:r>
          </w:p>
        </w:tc>
        <w:tc>
          <w:tcPr>
            <w:tcW w:w="11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15.00</w:t>
            </w:r>
          </w:p>
        </w:tc>
        <w:tc>
          <w:tcPr>
            <w:tcW w:w="16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业务补助经费，保证单位工作正常运转。</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质量指标</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日常培训合格率</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95</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w:t>
            </w:r>
          </w:p>
        </w:tc>
      </w:tr>
      <w:tr>
        <w:tblPrEx>
          <w:tblCellMar>
            <w:top w:w="0" w:type="dxa"/>
            <w:left w:w="108" w:type="dxa"/>
            <w:bottom w:w="0" w:type="dxa"/>
            <w:right w:w="108" w:type="dxa"/>
          </w:tblCellMar>
        </w:tblPrEx>
        <w:trPr>
          <w:trHeight w:val="1120"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可持续影响指标</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规范业务流程，提高工作效率</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服务对象满意度指标</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群众对日常工作的受益程度</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95</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jc w:val="center"/>
        </w:trPr>
        <w:tc>
          <w:tcPr>
            <w:tcW w:w="11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2023年综合业务工作经费</w:t>
            </w:r>
          </w:p>
        </w:tc>
        <w:tc>
          <w:tcPr>
            <w:tcW w:w="11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29.00</w:t>
            </w:r>
          </w:p>
        </w:tc>
        <w:tc>
          <w:tcPr>
            <w:tcW w:w="16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工作运行经费，保障交通工作的正常进行</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质量指标</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办公用品支出情况</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95</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社会效益指标</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交通工作带来的社会效益</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定性</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优良中低差</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其他</w:t>
            </w:r>
          </w:p>
        </w:tc>
      </w:tr>
      <w:tr>
        <w:tblPrEx>
          <w:tblCellMar>
            <w:top w:w="0" w:type="dxa"/>
            <w:left w:w="108" w:type="dxa"/>
            <w:bottom w:w="0" w:type="dxa"/>
            <w:right w:w="108" w:type="dxa"/>
          </w:tblCellMar>
        </w:tblPrEx>
        <w:trPr>
          <w:trHeight w:val="840" w:hRule="atLeast"/>
          <w:jc w:val="center"/>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服务对象满意度指标</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帮扶对象满意度</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定性</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优良中低差</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其他</w:t>
            </w:r>
          </w:p>
        </w:tc>
      </w:tr>
    </w:tbl>
    <w:p>
      <w:pPr>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其中：一般公共预算拨款收入包括财政部门经费拨款、专项收入、行政事业性收费收入、罚没收入、国有资源（资产）有偿使用收入和其他收入。</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上年结转和结余：</w:t>
      </w:r>
      <w:r>
        <w:rPr>
          <w:rFonts w:ascii="仿宋_GB2312" w:eastAsia="仿宋_GB2312"/>
          <w:sz w:val="32"/>
          <w:szCs w:val="32"/>
        </w:rPr>
        <w:t>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ascii="宋体" w:hAnsi="宋体"/>
          <w:b/>
          <w:sz w:val="32"/>
          <w:szCs w:val="32"/>
        </w:rPr>
      </w:pPr>
      <w:r>
        <w:rPr>
          <w:rFonts w:hint="eastAsia" w:ascii="黑体" w:hAnsi="宋体" w:eastAsia="黑体"/>
          <w:color w:val="000000"/>
          <w:sz w:val="32"/>
          <w:szCs w:val="32"/>
        </w:rPr>
        <w:t>二、支出类</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（三）一般公共预算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rPr>
        <w:t>部门</w:t>
      </w:r>
      <w:r>
        <w:rPr>
          <w:rFonts w:ascii="仿宋_GB2312" w:eastAsia="仿宋_GB2312"/>
          <w:sz w:val="32"/>
          <w:szCs w:val="32"/>
        </w:rPr>
        <w:t>按规定开支的各类公务接待（含外宾接待）支出。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（四）</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rPr>
        <w:t>部门</w:t>
      </w:r>
      <w:r>
        <w:rPr>
          <w:rFonts w:ascii="仿宋_GB2312" w:eastAsia="仿宋_GB2312"/>
          <w:sz w:val="32"/>
          <w:szCs w:val="32"/>
        </w:rPr>
        <w:t>（含参照公务员法管理的事业</w:t>
      </w:r>
      <w:r>
        <w:rPr>
          <w:rFonts w:hint="eastAsia" w:ascii="仿宋_GB2312" w:eastAsia="仿宋_GB2312"/>
          <w:sz w:val="32"/>
          <w:szCs w:val="32"/>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rFonts w:ascii="仿宋_GB2312" w:eastAsia="仿宋_GB2312"/>
          <w:sz w:val="32"/>
          <w:szCs w:val="32"/>
        </w:rPr>
      </w:pPr>
      <w:r>
        <w:rPr>
          <w:rFonts w:hint="eastAsia" w:ascii="仿宋_GB2312" w:eastAsia="仿宋_GB2312"/>
          <w:b/>
          <w:bCs/>
          <w:sz w:val="32"/>
          <w:szCs w:val="32"/>
        </w:rPr>
        <w:t>（一）社会保障和就业支出（类）行政事业单位养老支出（款）机关事业单位基本养老保险缴费支出（项）：</w:t>
      </w:r>
      <w:r>
        <w:rPr>
          <w:rFonts w:hint="eastAsia" w:ascii="仿宋_GB2312" w:eastAsia="仿宋_GB2312"/>
          <w:sz w:val="32"/>
          <w:szCs w:val="32"/>
        </w:rPr>
        <w:t>反映机关事业单位实施养老保险制度由单位缴纳的基本养老保险费支出。</w:t>
      </w:r>
    </w:p>
    <w:p>
      <w:pPr>
        <w:ind w:firstLine="643" w:firstLineChars="200"/>
        <w:rPr>
          <w:rFonts w:ascii="仿宋_GB2312" w:eastAsia="仿宋_GB2312"/>
          <w:sz w:val="32"/>
          <w:szCs w:val="32"/>
        </w:rPr>
      </w:pPr>
      <w:r>
        <w:rPr>
          <w:rFonts w:hint="eastAsia" w:ascii="仿宋_GB2312" w:eastAsia="仿宋_GB2312"/>
          <w:b/>
          <w:bCs/>
          <w:sz w:val="32"/>
          <w:szCs w:val="32"/>
        </w:rPr>
        <w:t>（二）社会保障和就业支出（类）行政事业单位养老支出（款）机关事业单位职业年金缴费支出（项）：</w:t>
      </w:r>
      <w:r>
        <w:rPr>
          <w:rFonts w:hint="eastAsia" w:ascii="仿宋_GB2312" w:eastAsia="仿宋_GB2312"/>
          <w:sz w:val="32"/>
          <w:szCs w:val="32"/>
        </w:rPr>
        <w:t>反映机关事业单位实施养老保险制度由单位实际缴纳的职业年金支出。</w:t>
      </w:r>
    </w:p>
    <w:p>
      <w:pPr>
        <w:ind w:firstLine="643" w:firstLineChars="200"/>
        <w:rPr>
          <w:rFonts w:ascii="仿宋_GB2312" w:eastAsia="仿宋_GB2312"/>
          <w:sz w:val="32"/>
          <w:szCs w:val="32"/>
        </w:rPr>
      </w:pPr>
      <w:r>
        <w:rPr>
          <w:rFonts w:hint="eastAsia" w:ascii="仿宋_GB2312" w:eastAsia="仿宋_GB2312"/>
          <w:b/>
          <w:bCs/>
          <w:sz w:val="32"/>
          <w:szCs w:val="32"/>
        </w:rPr>
        <w:t>（三）社会保障和就业支出（类）行政事业单位养老支出（款）其他行政事业单位养老支出（项）：</w:t>
      </w:r>
      <w:r>
        <w:rPr>
          <w:rFonts w:hint="eastAsia" w:ascii="仿宋_GB2312" w:eastAsia="仿宋_GB2312"/>
          <w:sz w:val="32"/>
          <w:szCs w:val="32"/>
        </w:rPr>
        <w:t>反映除上述项目以外其他用于行政事业单位养老方面的支出。</w:t>
      </w:r>
    </w:p>
    <w:p>
      <w:pPr>
        <w:ind w:firstLine="643" w:firstLineChars="200"/>
        <w:rPr>
          <w:rFonts w:ascii="仿宋_GB2312" w:eastAsia="仿宋_GB2312"/>
          <w:sz w:val="32"/>
          <w:szCs w:val="32"/>
        </w:rPr>
      </w:pPr>
      <w:r>
        <w:rPr>
          <w:rFonts w:hint="eastAsia" w:ascii="仿宋_GB2312" w:eastAsia="仿宋_GB2312"/>
          <w:b/>
          <w:bCs/>
          <w:sz w:val="32"/>
          <w:szCs w:val="32"/>
        </w:rPr>
        <w:t>（四）社会保障和就业支出（类）其他社会保障和就业支出（款）其他社会保障和就业支出（项）：</w:t>
      </w:r>
      <w:r>
        <w:rPr>
          <w:rFonts w:hint="eastAsia" w:ascii="仿宋_GB2312" w:eastAsia="仿宋_GB2312"/>
          <w:sz w:val="32"/>
          <w:szCs w:val="32"/>
        </w:rPr>
        <w:t>反映除上述项目以外其他用于社会保障和就业方面的支出。</w:t>
      </w:r>
    </w:p>
    <w:p>
      <w:pPr>
        <w:ind w:firstLine="643" w:firstLineChars="200"/>
        <w:rPr>
          <w:rFonts w:ascii="仿宋_GB2312" w:eastAsia="仿宋_GB2312"/>
          <w:sz w:val="32"/>
          <w:szCs w:val="32"/>
        </w:rPr>
      </w:pPr>
      <w:r>
        <w:rPr>
          <w:rFonts w:hint="eastAsia" w:ascii="仿宋_GB2312" w:eastAsia="仿宋_GB2312"/>
          <w:b/>
          <w:bCs/>
          <w:sz w:val="32"/>
          <w:szCs w:val="32"/>
        </w:rPr>
        <w:t>（五）卫生健康支出（类）行政事业单位医疗（款）行政单位医疗（项）：</w:t>
      </w:r>
      <w:r>
        <w:rPr>
          <w:rFonts w:hint="eastAsia" w:ascii="仿宋_GB2312" w:eastAsia="仿宋_GB2312"/>
          <w:sz w:val="32"/>
          <w:szCs w:val="32"/>
        </w:rPr>
        <w:t>反映财政部门安排的行政单位（包括实行公务员管理的事业单位，下同）基本医疗保险缴费经费、未参加医疗保险的行政单位的公费医疗经费，按国家规定享受离休人员、红军老战士待遇人员的医疗经费。</w:t>
      </w:r>
    </w:p>
    <w:p>
      <w:pPr>
        <w:ind w:firstLine="643" w:firstLineChars="200"/>
        <w:rPr>
          <w:rFonts w:ascii="仿宋_GB2312" w:eastAsia="仿宋_GB2312"/>
          <w:sz w:val="32"/>
          <w:szCs w:val="32"/>
        </w:rPr>
      </w:pPr>
      <w:r>
        <w:rPr>
          <w:rFonts w:hint="eastAsia" w:ascii="仿宋_GB2312" w:eastAsia="仿宋_GB2312"/>
          <w:b/>
          <w:bCs/>
          <w:sz w:val="32"/>
          <w:szCs w:val="32"/>
        </w:rPr>
        <w:t>（六）卫生健康支出（类）行政事业单位医疗（款）公务员医疗补助（项）：</w:t>
      </w:r>
      <w:r>
        <w:rPr>
          <w:rFonts w:hint="eastAsia" w:ascii="仿宋_GB2312" w:eastAsia="仿宋_GB2312"/>
          <w:sz w:val="32"/>
          <w:szCs w:val="32"/>
        </w:rPr>
        <w:t>反映财政部门安排的公务员医疗补助经费。</w:t>
      </w:r>
    </w:p>
    <w:p>
      <w:pPr>
        <w:ind w:firstLine="643" w:firstLineChars="200"/>
        <w:rPr>
          <w:rFonts w:ascii="仿宋_GB2312" w:eastAsia="仿宋_GB2312"/>
          <w:sz w:val="32"/>
          <w:szCs w:val="32"/>
        </w:rPr>
      </w:pPr>
      <w:r>
        <w:rPr>
          <w:rFonts w:hint="eastAsia" w:ascii="仿宋_GB2312" w:eastAsia="仿宋_GB2312"/>
          <w:b/>
          <w:bCs/>
          <w:sz w:val="32"/>
          <w:szCs w:val="32"/>
        </w:rPr>
        <w:t>（七）农林水支出（类）巩固脱贫攻坚成果衔接乡村振兴（款）其他巩固脱贫攻坚成果衔接乡村振兴支出（项）：</w:t>
      </w:r>
      <w:r>
        <w:rPr>
          <w:rFonts w:hint="eastAsia" w:ascii="仿宋_GB2312" w:eastAsia="仿宋_GB2312"/>
          <w:sz w:val="32"/>
          <w:szCs w:val="32"/>
        </w:rPr>
        <w:t>反映除上述项目以外其他用于巩固拓展脱贫攻坚成果同乡村振兴有效衔接方面的支出。</w:t>
      </w:r>
    </w:p>
    <w:p>
      <w:pPr>
        <w:ind w:firstLine="643" w:firstLineChars="200"/>
        <w:rPr>
          <w:rFonts w:ascii="仿宋_GB2312" w:eastAsia="仿宋_GB2312"/>
          <w:sz w:val="32"/>
          <w:szCs w:val="32"/>
        </w:rPr>
      </w:pPr>
      <w:r>
        <w:rPr>
          <w:rFonts w:hint="eastAsia" w:ascii="仿宋_GB2312" w:eastAsia="仿宋_GB2312"/>
          <w:b/>
          <w:bCs/>
          <w:sz w:val="32"/>
          <w:szCs w:val="32"/>
        </w:rPr>
        <w:t>（八）交通运输支出（类）公路水路运输（款）行政运行（项）：</w:t>
      </w:r>
      <w:r>
        <w:rPr>
          <w:rFonts w:hint="eastAsia" w:ascii="仿宋_GB2312" w:eastAsia="仿宋_GB2312"/>
          <w:sz w:val="32"/>
          <w:szCs w:val="32"/>
        </w:rPr>
        <w:t>反映行政单位（包括实行公务员管理的事业单位）的基本支出。</w:t>
      </w:r>
    </w:p>
    <w:p>
      <w:pPr>
        <w:ind w:firstLine="643" w:firstLineChars="200"/>
        <w:rPr>
          <w:rFonts w:ascii="仿宋_GB2312" w:eastAsia="仿宋_GB2312"/>
          <w:sz w:val="32"/>
          <w:szCs w:val="32"/>
        </w:rPr>
      </w:pPr>
      <w:r>
        <w:rPr>
          <w:rFonts w:hint="eastAsia" w:ascii="仿宋_GB2312" w:eastAsia="仿宋_GB2312"/>
          <w:b/>
          <w:bCs/>
          <w:sz w:val="32"/>
          <w:szCs w:val="32"/>
        </w:rPr>
        <w:t>（九）交通运输支出（类）公路水路运输（款）其他公路水路运输支出（项）：</w:t>
      </w:r>
      <w:r>
        <w:rPr>
          <w:rFonts w:hint="eastAsia" w:ascii="仿宋_GB2312" w:eastAsia="仿宋_GB2312"/>
          <w:sz w:val="32"/>
          <w:szCs w:val="32"/>
        </w:rPr>
        <w:t>反映除上述项目以外其他用于公路水路运输方面的支出。</w:t>
      </w:r>
    </w:p>
    <w:p>
      <w:pPr>
        <w:ind w:firstLine="643" w:firstLineChars="200"/>
        <w:rPr>
          <w:rFonts w:ascii="仿宋_GB2312" w:eastAsia="仿宋_GB2312"/>
          <w:sz w:val="32"/>
          <w:szCs w:val="32"/>
        </w:rPr>
      </w:pPr>
      <w:r>
        <w:rPr>
          <w:rFonts w:hint="eastAsia" w:ascii="仿宋_GB2312" w:eastAsia="仿宋_GB2312"/>
          <w:b/>
          <w:bCs/>
          <w:sz w:val="32"/>
          <w:szCs w:val="32"/>
        </w:rPr>
        <w:t>（十）交通运输支出（类）车辆购置税支出（款）车辆购置税用于农村公路建设支出（项）：</w:t>
      </w:r>
      <w:r>
        <w:rPr>
          <w:rFonts w:hint="eastAsia" w:ascii="仿宋_GB2312" w:eastAsia="仿宋_GB2312"/>
          <w:sz w:val="32"/>
          <w:szCs w:val="32"/>
        </w:rPr>
        <w:t>反映车辆购置税收入安排用于农村公路建设的支出。</w:t>
      </w:r>
    </w:p>
    <w:p>
      <w:pPr>
        <w:ind w:firstLine="643" w:firstLineChars="200"/>
        <w:rPr>
          <w:rFonts w:ascii="仿宋_GB2312" w:eastAsia="仿宋_GB2312"/>
          <w:sz w:val="32"/>
          <w:szCs w:val="32"/>
        </w:rPr>
      </w:pPr>
      <w:r>
        <w:rPr>
          <w:rFonts w:hint="eastAsia" w:ascii="仿宋_GB2312" w:eastAsia="仿宋_GB2312"/>
          <w:b/>
          <w:bCs/>
          <w:sz w:val="32"/>
          <w:szCs w:val="32"/>
        </w:rPr>
        <w:t>（十一）住房保障支出（类）住房改革支出（款）住房公积金（项）：</w:t>
      </w:r>
      <w:r>
        <w:rPr>
          <w:rFonts w:hint="eastAsia" w:ascii="仿宋_GB2312" w:eastAsia="仿宋_GB2312"/>
          <w:sz w:val="32"/>
          <w:szCs w:val="32"/>
        </w:rPr>
        <w:t>反映行政事业单位按人力资源和社会保障部、财政部规定的基本工资和津贴补贴以及规定比例为职工缴纳的住房公积金。</w:t>
      </w:r>
    </w:p>
    <w:p>
      <w:pPr>
        <w:ind w:firstLine="640" w:firstLineChars="200"/>
        <w:rPr>
          <w:rFonts w:ascii="黑体" w:hAnsi="黑体" w:eastAsia="黑体"/>
          <w:sz w:val="32"/>
          <w:szCs w:val="32"/>
        </w:rPr>
      </w:pPr>
      <w:r>
        <w:rPr>
          <w:rFonts w:hint="eastAsia" w:ascii="黑体" w:hAnsi="黑体" w:eastAsia="黑体"/>
          <w:sz w:val="32"/>
          <w:szCs w:val="32"/>
        </w:rPr>
        <w:t>四、部门专业类名词</w:t>
      </w:r>
    </w:p>
    <w:p>
      <w:pPr>
        <w:adjustRightInd w:val="0"/>
        <w:snapToGrid w:val="0"/>
        <w:spacing w:line="560" w:lineRule="exact"/>
        <w:ind w:firstLine="640" w:firstLineChars="200"/>
      </w:pPr>
      <w:r>
        <w:rPr>
          <w:rFonts w:hint="eastAsia" w:ascii="仿宋_GB2312" w:eastAsia="仿宋_GB2312"/>
          <w:sz w:val="32"/>
          <w:szCs w:val="32"/>
        </w:rPr>
        <w:t>无。</w:t>
      </w:r>
      <w:bookmarkStart w:id="7" w:name="_GoBack"/>
      <w:bookmarkEnd w:id="7"/>
    </w:p>
    <w:sectPr>
      <w:headerReference r:id="rId3" w:type="default"/>
      <w:footerReference r:id="rId4" w:type="default"/>
      <w:footerReference r:id="rId5" w:type="even"/>
      <w:pgSz w:w="11906" w:h="16838"/>
      <w:pgMar w:top="1440" w:right="1531" w:bottom="1440" w:left="153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华文琥珀">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15</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hlY2M5OWFjNGU4MTQxNDE4NDE1NTkyM2MyZjcxNGUifQ=="/>
  </w:docVars>
  <w:rsids>
    <w:rsidRoot w:val="00172A27"/>
    <w:rsid w:val="0000475B"/>
    <w:rsid w:val="0001178F"/>
    <w:rsid w:val="00020FDD"/>
    <w:rsid w:val="000232E4"/>
    <w:rsid w:val="00034A5C"/>
    <w:rsid w:val="00050279"/>
    <w:rsid w:val="000531EE"/>
    <w:rsid w:val="00055542"/>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2A27"/>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C7C15"/>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B50E2"/>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459FF"/>
    <w:rsid w:val="007611BA"/>
    <w:rsid w:val="0076222D"/>
    <w:rsid w:val="007655FE"/>
    <w:rsid w:val="007665F3"/>
    <w:rsid w:val="0077254F"/>
    <w:rsid w:val="007773DC"/>
    <w:rsid w:val="00790876"/>
    <w:rsid w:val="00791F22"/>
    <w:rsid w:val="007A0E06"/>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2667B"/>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8F78D3"/>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B4B"/>
    <w:rsid w:val="00E65D63"/>
    <w:rsid w:val="00E66709"/>
    <w:rsid w:val="00E73129"/>
    <w:rsid w:val="00E77312"/>
    <w:rsid w:val="00E80B18"/>
    <w:rsid w:val="00E812D1"/>
    <w:rsid w:val="00E8331F"/>
    <w:rsid w:val="00E9134E"/>
    <w:rsid w:val="00E92FA2"/>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91E92"/>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C002A0"/>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B53C42"/>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61AA1"/>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CB26F4B"/>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467CB5"/>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722C78"/>
    <w:rsid w:val="777F79AC"/>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字符"/>
    <w:link w:val="2"/>
    <w:semiHidden/>
    <w:qFormat/>
    <w:uiPriority w:val="99"/>
    <w:rPr>
      <w:rFonts w:ascii="Times New Roman" w:hAnsi="Times New Roman"/>
      <w:kern w:val="2"/>
      <w:sz w:val="18"/>
      <w:szCs w:val="18"/>
    </w:rPr>
  </w:style>
  <w:style w:type="character" w:customStyle="1" w:styleId="9">
    <w:name w:val="页脚 字符"/>
    <w:link w:val="3"/>
    <w:qFormat/>
    <w:uiPriority w:val="99"/>
    <w:rPr>
      <w:rFonts w:ascii="Times New Roman" w:hAnsi="Times New Roman"/>
      <w:kern w:val="2"/>
      <w:sz w:val="18"/>
      <w:szCs w:val="18"/>
    </w:rPr>
  </w:style>
  <w:style w:type="character" w:customStyle="1" w:styleId="10">
    <w:name w:val="页眉 字符"/>
    <w:link w:val="4"/>
    <w:qFormat/>
    <w:uiPriority w:val="99"/>
    <w:rPr>
      <w:rFonts w:ascii="Times New Roman" w:hAnsi="Times New Roman"/>
      <w:kern w:val="2"/>
      <w:sz w:val="18"/>
      <w:szCs w:val="18"/>
    </w:rPr>
  </w:style>
  <w:style w:type="paragraph" w:styleId="11">
    <w:name w:val="List Paragraph"/>
    <w:basedOn w:val="1"/>
    <w:qFormat/>
    <w:uiPriority w:val="34"/>
    <w:pPr>
      <w:ind w:firstLine="420" w:firstLineChars="200"/>
    </w:pPr>
  </w:style>
  <w:style w:type="paragraph" w:styleId="12">
    <w:name w:val="No Spacing"/>
    <w:link w:val="13"/>
    <w:qFormat/>
    <w:uiPriority w:val="0"/>
    <w:rPr>
      <w:rFonts w:ascii="Calibri" w:hAnsi="Calibri" w:eastAsia="宋体" w:cs="Times New Roman"/>
      <w:sz w:val="22"/>
      <w:szCs w:val="22"/>
      <w:lang w:val="en-US" w:eastAsia="zh-CN" w:bidi="ar-SA"/>
    </w:rPr>
  </w:style>
  <w:style w:type="character" w:customStyle="1" w:styleId="13">
    <w:name w:val="无间隔 字符"/>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 w:type="character" w:customStyle="1" w:styleId="15">
    <w:name w:val="font31"/>
    <w:basedOn w:val="6"/>
    <w:qFormat/>
    <w:uiPriority w:val="0"/>
    <w:rPr>
      <w:rFonts w:hint="eastAsia" w:ascii="宋体" w:hAnsi="宋体" w:eastAsia="宋体" w:cs="宋体"/>
      <w:color w:val="000000"/>
      <w:sz w:val="22"/>
      <w:szCs w:val="22"/>
      <w:u w:val="none"/>
    </w:rPr>
  </w:style>
  <w:style w:type="character" w:customStyle="1" w:styleId="16">
    <w:name w:val="font1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8101</Words>
  <Characters>9872</Characters>
  <Lines>83</Lines>
  <Paragraphs>23</Paragraphs>
  <TotalTime>18</TotalTime>
  <ScaleCrop>false</ScaleCrop>
  <LinksUpToDate>false</LinksUpToDate>
  <CharactersWithSpaces>9989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2023-06-05T08:36:00Z</dcterms:created>
  <dc:creator>王炜(部门内部人)</dc:creator>
  <cp:lastModifiedBy>梓嶽子</cp:lastModifiedBy>
  <cp:lastPrinted>2021-01-31T19:43:00Z</cp:lastPrinted>
  <dcterms:modified xsi:type="dcterms:W3CDTF">2023-06-06T07:05:49Z</dcterms:modified>
  <dc:title>×××部门</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5943E1C9B0A04DA8BF8BF4861CC79832_13</vt:lpwstr>
  </property>
</Properties>
</file>