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tcPr>
          <w:p>
            <w:pPr>
              <w:pStyle w:val="12"/>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vAlign w:val="center"/>
          </w:tcPr>
          <w:p>
            <w:pPr>
              <w:pStyle w:val="12"/>
              <w:jc w:val="center"/>
              <w:rPr>
                <w:rFonts w:ascii="Cambria" w:hAnsi="Cambria"/>
                <w:b/>
                <w:sz w:val="80"/>
                <w:szCs w:val="80"/>
              </w:rPr>
            </w:pPr>
            <w:r>
              <w:rPr>
                <w:rFonts w:hint="eastAsia" w:ascii="Cambria" w:hAnsi="Cambria"/>
                <w:b/>
                <w:sz w:val="80"/>
                <w:szCs w:val="80"/>
              </w:rPr>
              <w:t>湟源县交通运输局（本级）</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tcPr>
          <w:p>
            <w:pPr>
              <w:pStyle w:val="12"/>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rPr>
        <w:t>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根据《中共西宁市委办公厅、西宁市人民政府办公厅关于印发〈湟源县人民政府职能转变和机构改革方案〉的通知》（宁办发〔2015〕37号），设立湟源县交通运输局，为县政府工作部门。主要职责</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（一）贯彻执行国家和省、市有关交通运输的方针政策和法律法规；拟订交通运输工作发展规划和年度计划，并组织实施。</w:t>
      </w:r>
    </w:p>
    <w:p>
      <w:pPr>
        <w:ind w:firstLine="640" w:firstLineChars="200"/>
        <w:rPr>
          <w:rFonts w:hint="eastAsia" w:ascii="仿宋_GB2312" w:eastAsia="仿宋_GB2312"/>
          <w:sz w:val="32"/>
          <w:szCs w:val="32"/>
        </w:rPr>
      </w:pPr>
      <w:r>
        <w:rPr>
          <w:rFonts w:hint="eastAsia" w:ascii="仿宋_GB2312" w:eastAsia="仿宋_GB2312"/>
          <w:sz w:val="32"/>
          <w:szCs w:val="32"/>
        </w:rPr>
        <w:t>（二）执行并监督实施公路有关制度、技术标准和运营规范；负责城乡客运设施规划和管理。</w:t>
      </w:r>
    </w:p>
    <w:p>
      <w:pPr>
        <w:ind w:firstLine="640" w:firstLineChars="200"/>
        <w:rPr>
          <w:rFonts w:hint="eastAsia" w:ascii="仿宋_GB2312" w:eastAsia="仿宋_GB2312"/>
          <w:sz w:val="32"/>
          <w:szCs w:val="32"/>
        </w:rPr>
      </w:pPr>
      <w:r>
        <w:rPr>
          <w:rFonts w:hint="eastAsia" w:ascii="仿宋_GB2312" w:eastAsia="仿宋_GB2312"/>
          <w:sz w:val="32"/>
          <w:szCs w:val="32"/>
        </w:rPr>
        <w:t>（三）承担公路运输市场、汽车驾驶学校和汽车驾驶员培训行业监管责任。负责交通运输行政执法行为的监督管理；维护道路交通运输和城乡客运的平等竞争秩序。</w:t>
      </w:r>
    </w:p>
    <w:p>
      <w:pPr>
        <w:ind w:firstLine="640" w:firstLineChars="200"/>
        <w:rPr>
          <w:rFonts w:hint="eastAsia" w:ascii="仿宋_GB2312" w:eastAsia="仿宋_GB2312"/>
          <w:sz w:val="32"/>
          <w:szCs w:val="32"/>
        </w:rPr>
      </w:pPr>
      <w:r>
        <w:rPr>
          <w:rFonts w:hint="eastAsia" w:ascii="仿宋_GB2312" w:eastAsia="仿宋_GB2312"/>
          <w:sz w:val="32"/>
          <w:szCs w:val="32"/>
        </w:rPr>
        <w:t>（四）负责提出交通运输行业固定资产投融资规模和方向、政府财政性资金安排意见；负责县级公路交通基础设施建设项目立项审查及申报工作。</w:t>
      </w:r>
    </w:p>
    <w:p>
      <w:pPr>
        <w:ind w:firstLine="640" w:firstLineChars="200"/>
        <w:rPr>
          <w:rFonts w:hint="eastAsia" w:ascii="仿宋_GB2312" w:eastAsia="仿宋_GB2312"/>
          <w:sz w:val="32"/>
          <w:szCs w:val="32"/>
        </w:rPr>
      </w:pPr>
      <w:r>
        <w:rPr>
          <w:rFonts w:hint="eastAsia" w:ascii="仿宋_GB2312" w:eastAsia="仿宋_GB2312"/>
          <w:sz w:val="32"/>
          <w:szCs w:val="32"/>
        </w:rPr>
        <w:t>（五）承担公路建设市场监管责任。负责协调国家及省市重点公路工程建设和工程质量、安全生产监督管理及代建支持项目的协调配合工作；负责监督交通运输基础设施的建设、养护和管理。</w:t>
      </w:r>
    </w:p>
    <w:p>
      <w:pPr>
        <w:ind w:firstLine="640" w:firstLineChars="200"/>
        <w:rPr>
          <w:rFonts w:hint="eastAsia" w:ascii="仿宋_GB2312" w:eastAsia="仿宋_GB2312"/>
          <w:sz w:val="32"/>
          <w:szCs w:val="32"/>
        </w:rPr>
      </w:pPr>
      <w:r>
        <w:rPr>
          <w:rFonts w:hint="eastAsia" w:ascii="仿宋_GB2312" w:eastAsia="仿宋_GB2312"/>
          <w:sz w:val="32"/>
          <w:szCs w:val="32"/>
        </w:rPr>
        <w:t>（六）负责交通运输行业安全生产和应急管理工作；组织或参与事故调查处理。</w:t>
      </w:r>
    </w:p>
    <w:p>
      <w:pPr>
        <w:ind w:firstLine="640" w:firstLineChars="200"/>
        <w:rPr>
          <w:rFonts w:hint="eastAsia" w:ascii="仿宋_GB2312" w:eastAsia="仿宋_GB2312"/>
          <w:sz w:val="32"/>
          <w:szCs w:val="32"/>
        </w:rPr>
      </w:pPr>
      <w:r>
        <w:rPr>
          <w:rFonts w:hint="eastAsia" w:ascii="仿宋_GB2312" w:eastAsia="仿宋_GB2312"/>
          <w:sz w:val="32"/>
          <w:szCs w:val="32"/>
        </w:rPr>
        <w:t>（七）负责交通运输信息化建设和交通运输行业技术进步工作；监测分析运行情况，开展交通运输行业综合统计工作，发布有关信息；负责县域内公路超限超载治理工作；负责交通运输行业环境保护和节能减排工作。</w:t>
      </w:r>
    </w:p>
    <w:p>
      <w:pPr>
        <w:ind w:firstLine="640" w:firstLineChars="200"/>
        <w:rPr>
          <w:rFonts w:hint="eastAsia" w:ascii="仿宋_GB2312" w:eastAsia="仿宋_GB2312"/>
          <w:sz w:val="32"/>
          <w:szCs w:val="32"/>
        </w:rPr>
      </w:pPr>
      <w:r>
        <w:rPr>
          <w:rFonts w:hint="eastAsia" w:ascii="仿宋_GB2312" w:eastAsia="仿宋_GB2312"/>
          <w:sz w:val="32"/>
          <w:szCs w:val="32"/>
        </w:rPr>
        <w:t>（八）负责城乡客运行业管理工作,执行相关政策、制度和标准；推进公交优先发展，协调做好县内公交线路、场站、站点的规划、建设和管理；负责出租汽车管理，依法规范出租客运经营行为，维护客运市场秩序。</w:t>
      </w:r>
    </w:p>
    <w:p>
      <w:pPr>
        <w:ind w:firstLine="640" w:firstLineChars="200"/>
        <w:rPr>
          <w:rFonts w:hint="eastAsia" w:ascii="仿宋_GB2312" w:eastAsia="仿宋_GB2312"/>
          <w:sz w:val="32"/>
          <w:szCs w:val="32"/>
        </w:rPr>
      </w:pPr>
      <w:r>
        <w:rPr>
          <w:rFonts w:hint="eastAsia" w:ascii="仿宋_GB2312" w:eastAsia="仿宋_GB2312"/>
          <w:sz w:val="32"/>
          <w:szCs w:val="32"/>
        </w:rPr>
        <w:t>（九）负责交通运输行业法制宣传工作。</w:t>
      </w:r>
    </w:p>
    <w:p>
      <w:pPr>
        <w:ind w:firstLine="640" w:firstLineChars="200"/>
        <w:rPr>
          <w:rFonts w:hint="eastAsia" w:ascii="仿宋_GB2312" w:eastAsia="仿宋_GB2312"/>
          <w:sz w:val="32"/>
          <w:szCs w:val="32"/>
        </w:rPr>
      </w:pPr>
      <w:r>
        <w:rPr>
          <w:rFonts w:hint="eastAsia" w:ascii="仿宋_GB2312" w:eastAsia="仿宋_GB2312"/>
          <w:sz w:val="32"/>
          <w:szCs w:val="32"/>
        </w:rPr>
        <w:t>（十）承办县政府交办的其他事项。</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年度预算编制范围一级预算单位1个。内设局长1人，副局长5人。下设局办公室、建管中心、财务室、后勤、四好农村公路办公室。</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ind w:firstLine="640" w:firstLineChars="200"/>
        <w:rPr>
          <w:rFonts w:hint="eastAsia" w:ascii="仿宋_GB2312" w:eastAsia="仿宋_GB2312"/>
          <w:sz w:val="32"/>
          <w:szCs w:val="32"/>
        </w:rPr>
      </w:pPr>
      <w:r>
        <w:rPr>
          <w:rFonts w:hint="eastAsia" w:ascii="仿宋_GB2312" w:eastAsia="仿宋_GB2312"/>
          <w:sz w:val="32"/>
          <w:szCs w:val="32"/>
        </w:rPr>
        <w:t>纳入湟源县交通运输局</w:t>
      </w:r>
      <w:r>
        <w:rPr>
          <w:rFonts w:hint="eastAsia" w:ascii="仿宋_GB2312" w:eastAsia="仿宋_GB2312"/>
          <w:sz w:val="32"/>
          <w:szCs w:val="32"/>
          <w:lang w:eastAsia="zh-CN"/>
        </w:rPr>
        <w:t>（</w:t>
      </w:r>
      <w:r>
        <w:rPr>
          <w:rFonts w:hint="eastAsia" w:ascii="仿宋_GB2312" w:eastAsia="仿宋_GB2312"/>
          <w:sz w:val="32"/>
          <w:szCs w:val="32"/>
          <w:lang w:val="en-US" w:eastAsia="zh-CN"/>
        </w:rPr>
        <w:t>本级</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年部门预算编制范围的二级预算单位包括：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5"/>
        <w:tblW w:w="9870" w:type="dxa"/>
        <w:jc w:val="center"/>
        <w:tblLayout w:type="fixed"/>
        <w:tblCellMar>
          <w:top w:w="0" w:type="dxa"/>
          <w:left w:w="108" w:type="dxa"/>
          <w:bottom w:w="0" w:type="dxa"/>
          <w:right w:w="108" w:type="dxa"/>
        </w:tblCellMar>
      </w:tblPr>
      <w:tblGrid>
        <w:gridCol w:w="3435"/>
        <w:gridCol w:w="1550"/>
        <w:gridCol w:w="3310"/>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498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88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4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33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2332.78</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33.16</w:t>
            </w: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15.29</w:t>
            </w: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409.61</w:t>
            </w: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5570.21</w:t>
            </w: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8.73</w:t>
            </w: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2332.78</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6037.01</w:t>
            </w: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3704.23</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6037.01</w:t>
            </w:r>
          </w:p>
        </w:tc>
        <w:tc>
          <w:tcPr>
            <w:tcW w:w="33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6037.01</w:t>
            </w:r>
          </w:p>
        </w:tc>
      </w:tr>
    </w:tbl>
    <w:p>
      <w:pPr>
        <w:rPr>
          <w:rFonts w:ascii="仿宋_GB2312" w:eastAsia="仿宋_GB2312"/>
          <w:sz w:val="32"/>
          <w:szCs w:val="32"/>
        </w:rPr>
      </w:pPr>
    </w:p>
    <w:tbl>
      <w:tblPr>
        <w:tblStyle w:val="5"/>
        <w:tblpPr w:leftFromText="180" w:rightFromText="180" w:vertAnchor="text" w:horzAnchor="page" w:tblpXSpec="center" w:tblpY="618"/>
        <w:tblOverlap w:val="never"/>
        <w:tblW w:w="11013" w:type="dxa"/>
        <w:jc w:val="center"/>
        <w:tblLayout w:type="fixed"/>
        <w:tblCellMar>
          <w:top w:w="0" w:type="dxa"/>
          <w:left w:w="108" w:type="dxa"/>
          <w:bottom w:w="0" w:type="dxa"/>
          <w:right w:w="108" w:type="dxa"/>
        </w:tblCellMar>
      </w:tblPr>
      <w:tblGrid>
        <w:gridCol w:w="1120"/>
        <w:gridCol w:w="970"/>
        <w:gridCol w:w="1020"/>
        <w:gridCol w:w="1000"/>
        <w:gridCol w:w="870"/>
        <w:gridCol w:w="910"/>
        <w:gridCol w:w="870"/>
        <w:gridCol w:w="761"/>
        <w:gridCol w:w="914"/>
        <w:gridCol w:w="914"/>
        <w:gridCol w:w="914"/>
        <w:gridCol w:w="750"/>
      </w:tblGrid>
      <w:tr>
        <w:tblPrEx>
          <w:tblCellMar>
            <w:top w:w="0" w:type="dxa"/>
            <w:left w:w="108" w:type="dxa"/>
            <w:bottom w:w="0" w:type="dxa"/>
            <w:right w:w="108" w:type="dxa"/>
          </w:tblCellMar>
        </w:tblPrEx>
        <w:trPr>
          <w:trHeight w:val="392" w:hRule="atLeast"/>
          <w:jc w:val="center"/>
        </w:trPr>
        <w:tc>
          <w:tcPr>
            <w:tcW w:w="1101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01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013"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bidi="ar"/>
              </w:rPr>
              <w:t>政府性基金预算拨款收入</w:t>
            </w:r>
          </w:p>
        </w:tc>
        <w:tc>
          <w:tcPr>
            <w:tcW w:w="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9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6037.01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3704.23</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2332.78</w:t>
            </w:r>
          </w:p>
        </w:tc>
        <w:tc>
          <w:tcPr>
            <w:tcW w:w="8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7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湟源县交通运输局</w:t>
            </w:r>
          </w:p>
        </w:tc>
        <w:tc>
          <w:tcPr>
            <w:tcW w:w="9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6037.01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3704.23</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2332.78</w:t>
            </w:r>
          </w:p>
        </w:tc>
        <w:tc>
          <w:tcPr>
            <w:tcW w:w="8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7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湟源县交通运输局（本级）</w:t>
            </w:r>
          </w:p>
        </w:tc>
        <w:tc>
          <w:tcPr>
            <w:tcW w:w="9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6037.01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3704.23</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2332.78</w:t>
            </w:r>
          </w:p>
        </w:tc>
        <w:tc>
          <w:tcPr>
            <w:tcW w:w="8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7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33" w:type="dxa"/>
        <w:jc w:val="center"/>
        <w:tblLayout w:type="fixed"/>
        <w:tblCellMar>
          <w:top w:w="0" w:type="dxa"/>
          <w:left w:w="108" w:type="dxa"/>
          <w:bottom w:w="0" w:type="dxa"/>
          <w:right w:w="108" w:type="dxa"/>
        </w:tblCellMar>
      </w:tblPr>
      <w:tblGrid>
        <w:gridCol w:w="1100"/>
        <w:gridCol w:w="4237"/>
        <w:gridCol w:w="1100"/>
        <w:gridCol w:w="1010"/>
        <w:gridCol w:w="1030"/>
        <w:gridCol w:w="963"/>
        <w:gridCol w:w="888"/>
        <w:gridCol w:w="905"/>
      </w:tblGrid>
      <w:tr>
        <w:tblPrEx>
          <w:tblCellMar>
            <w:top w:w="0" w:type="dxa"/>
            <w:left w:w="108" w:type="dxa"/>
            <w:bottom w:w="0" w:type="dxa"/>
            <w:right w:w="108" w:type="dxa"/>
          </w:tblCellMar>
        </w:tblPrEx>
        <w:trPr>
          <w:trHeight w:val="187" w:hRule="atLeast"/>
          <w:jc w:val="center"/>
        </w:trPr>
        <w:tc>
          <w:tcPr>
            <w:tcW w:w="11233"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233"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233"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9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53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6037.01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152.77</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5884.24</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33.16</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33.16</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33.06</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33.06</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10.03</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10.03</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18.01</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15.29</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12.29</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21004</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公共卫生</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2100410</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突发公共卫生事件应急处理</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12.29</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12.29</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7.94</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7.94</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409.61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409.61</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巩固脱贫攻坚成果衔接乡村振兴</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409.61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409.61</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2130504</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农村基础设施建设</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9.61</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2130599</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其他巩固脱贫攻坚成果衔接乡村振兴支出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400.00</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400.00</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交通运输支出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5570.21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98.58</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5471.63</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公路水路运输</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2171.90</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98.58</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2073.32</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2140101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142.58</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98.58</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44.00</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2140104</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公路建设</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1819.32</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1819.32</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2140199</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其他公路水路运输支出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210.00</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210.00</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21406</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车辆购置税支出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3398.31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3398.31</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2140602</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车辆购置税用于农村公路建设支出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3398.31</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3398.31</w:t>
            </w: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8.73</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8.73</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8.73</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8.73</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8.73</w:t>
            </w: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8.73</w:t>
            </w: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1245"/>
        <w:gridCol w:w="2096"/>
        <w:gridCol w:w="1081"/>
        <w:gridCol w:w="111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9"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34"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395"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24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09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08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1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0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24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2332.78</w:t>
            </w: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0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6037.01</w:t>
            </w:r>
          </w:p>
        </w:tc>
        <w:tc>
          <w:tcPr>
            <w:tcW w:w="111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6037.01</w:t>
            </w: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24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2332.78</w:t>
            </w: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0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33.16</w:t>
            </w:r>
          </w:p>
        </w:tc>
        <w:tc>
          <w:tcPr>
            <w:tcW w:w="111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33.16</w:t>
            </w: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0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15.29</w:t>
            </w:r>
          </w:p>
        </w:tc>
        <w:tc>
          <w:tcPr>
            <w:tcW w:w="111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15.29</w:t>
            </w: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0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409.61</w:t>
            </w:r>
          </w:p>
        </w:tc>
        <w:tc>
          <w:tcPr>
            <w:tcW w:w="111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409.61</w:t>
            </w: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0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5570.21</w:t>
            </w:r>
          </w:p>
        </w:tc>
        <w:tc>
          <w:tcPr>
            <w:tcW w:w="111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5570.21</w:t>
            </w: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0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8.73</w:t>
            </w:r>
          </w:p>
        </w:tc>
        <w:tc>
          <w:tcPr>
            <w:tcW w:w="111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8.73</w:t>
            </w: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24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3704.23</w:t>
            </w: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24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3704.23</w:t>
            </w:r>
          </w:p>
        </w:tc>
        <w:tc>
          <w:tcPr>
            <w:tcW w:w="2096" w:type="dxa"/>
            <w:shd w:val="clear" w:color="auto" w:fill="FFFFFF"/>
            <w:noWrap/>
            <w:vAlign w:val="center"/>
          </w:tcPr>
          <w:p>
            <w:pPr>
              <w:widowControl/>
              <w:jc w:val="left"/>
              <w:rPr>
                <w:rFonts w:ascii="宋体" w:hAnsi="宋体" w:cs="宋体"/>
                <w:kern w:val="0"/>
                <w:sz w:val="20"/>
              </w:rPr>
            </w:pP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245" w:type="dxa"/>
            <w:shd w:val="clear" w:color="auto" w:fill="FFFFFF"/>
            <w:noWrap/>
            <w:vAlign w:val="center"/>
          </w:tcPr>
          <w:p>
            <w:pPr>
              <w:widowControl/>
              <w:jc w:val="center"/>
              <w:rPr>
                <w:rFonts w:ascii="宋体" w:hAnsi="宋体" w:cs="宋体"/>
                <w:kern w:val="0"/>
                <w:sz w:val="20"/>
              </w:rPr>
            </w:pPr>
          </w:p>
        </w:tc>
        <w:tc>
          <w:tcPr>
            <w:tcW w:w="2096" w:type="dxa"/>
            <w:shd w:val="clear" w:color="auto" w:fill="FFFFFF"/>
            <w:noWrap/>
            <w:vAlign w:val="center"/>
          </w:tcPr>
          <w:p>
            <w:pPr>
              <w:widowControl/>
              <w:jc w:val="left"/>
              <w:rPr>
                <w:rFonts w:ascii="宋体" w:hAnsi="宋体" w:cs="宋体"/>
                <w:kern w:val="0"/>
                <w:sz w:val="20"/>
              </w:rPr>
            </w:pPr>
          </w:p>
        </w:tc>
        <w:tc>
          <w:tcPr>
            <w:tcW w:w="1081" w:type="dxa"/>
            <w:shd w:val="clear" w:color="auto" w:fill="FFFFFF"/>
            <w:noWrap/>
            <w:vAlign w:val="center"/>
          </w:tcPr>
          <w:p>
            <w:pPr>
              <w:widowControl/>
              <w:jc w:val="center"/>
              <w:rPr>
                <w:rFonts w:ascii="宋体" w:hAnsi="宋体" w:cs="宋体"/>
                <w:kern w:val="0"/>
                <w:sz w:val="20"/>
              </w:rPr>
            </w:pPr>
          </w:p>
        </w:tc>
        <w:tc>
          <w:tcPr>
            <w:tcW w:w="1112" w:type="dxa"/>
            <w:shd w:val="clear" w:color="auto" w:fill="FFFFFF"/>
            <w:noWrap/>
            <w:vAlign w:val="center"/>
          </w:tcPr>
          <w:p>
            <w:pPr>
              <w:widowControl/>
              <w:jc w:val="center"/>
              <w:rPr>
                <w:rFonts w:ascii="宋体" w:hAnsi="宋体" w:cs="宋体"/>
                <w:kern w:val="0"/>
                <w:sz w:val="20"/>
              </w:rPr>
            </w:pPr>
          </w:p>
        </w:tc>
        <w:tc>
          <w:tcPr>
            <w:tcW w:w="1106"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24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6037.01</w:t>
            </w:r>
          </w:p>
        </w:tc>
        <w:tc>
          <w:tcPr>
            <w:tcW w:w="20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0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6037.01</w:t>
            </w:r>
          </w:p>
        </w:tc>
        <w:tc>
          <w:tcPr>
            <w:tcW w:w="111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6037.01</w:t>
            </w:r>
          </w:p>
        </w:tc>
        <w:tc>
          <w:tcPr>
            <w:tcW w:w="1106" w:type="dxa"/>
            <w:shd w:val="clear" w:color="auto" w:fill="FFFFFF"/>
            <w:noWrap/>
            <w:vAlign w:val="center"/>
          </w:tcPr>
          <w:p>
            <w:pPr>
              <w:widowControl/>
              <w:jc w:val="center"/>
              <w:rPr>
                <w:rFonts w:ascii="宋体" w:hAnsi="宋体" w:cs="宋体"/>
                <w:kern w:val="0"/>
                <w:sz w:val="20"/>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4026"/>
        <w:gridCol w:w="1311"/>
        <w:gridCol w:w="1311"/>
        <w:gridCol w:w="1312"/>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27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393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402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1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4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27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2332.78</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152.77</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2180.01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33.16</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33.16</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33.06</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33.06</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10.03</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10.03</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5.02</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5.02</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18.01</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18.01</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0.11</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0.11</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0.11</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0.11</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12.29</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12.29</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12.29</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12.29</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7.94</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7.94</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4.35</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4.35</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农林水支出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巩固脱贫攻坚成果衔接乡村振兴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其他巩固脱贫攻坚成果衔接乡村振兴支出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214</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交通运输支出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1878.59</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98.58</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1780.01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公路水路运输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192.58</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98.58</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142.58</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98.58</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其他公路水路运输支出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车辆购置税支出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1686.01</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1686.01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车辆购置税用于农村公路建设支出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1686.01</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1686.01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8.73</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8.73</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8.73</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8.73</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4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8.73</w:t>
            </w: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8.73</w:t>
            </w:r>
          </w:p>
        </w:tc>
        <w:tc>
          <w:tcPr>
            <w:tcW w:w="13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2863"/>
        <w:gridCol w:w="2300"/>
        <w:gridCol w:w="2288"/>
        <w:gridCol w:w="2494"/>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0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4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63"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152.77</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143.12</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9.65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120.70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120.70</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25.01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25.01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29.74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29.74</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27.57</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27.57</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10.03</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10.03</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5.02</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5.02</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3.54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3.54</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4.35</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4.35</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8.73</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8.73</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6.60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6.60</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9.65</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9.65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0.55</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0.40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0.45</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0.45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0.15</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1.09</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4.76</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0.55</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22.41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22.41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17.16</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17.16</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4.41</w:t>
            </w: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4.41</w:t>
            </w: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310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资本性支出</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基础设施建设</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对企业补助</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其他对企业补助</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399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8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30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8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92"/>
        <w:gridCol w:w="965"/>
        <w:gridCol w:w="965"/>
        <w:gridCol w:w="965"/>
        <w:gridCol w:w="965"/>
        <w:gridCol w:w="965"/>
        <w:gridCol w:w="965"/>
        <w:gridCol w:w="965"/>
        <w:gridCol w:w="965"/>
        <w:gridCol w:w="96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342"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F15"/>
            <w:bookmarkEnd w:id="2"/>
            <w:bookmarkStart w:id="3" w:name="RANGE!A1:G6"/>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34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342"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46"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696"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4"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892"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871"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94" w:type="dxa"/>
            <w:vMerge w:val="continue"/>
            <w:vAlign w:val="center"/>
          </w:tcPr>
          <w:p>
            <w:pPr>
              <w:widowControl/>
              <w:jc w:val="left"/>
              <w:rPr>
                <w:rFonts w:ascii="宋体" w:hAnsi="宋体" w:cs="宋体"/>
                <w:b/>
                <w:bCs/>
                <w:color w:val="000000"/>
                <w:kern w:val="0"/>
                <w:sz w:val="22"/>
                <w:szCs w:val="22"/>
              </w:rPr>
            </w:pPr>
          </w:p>
        </w:tc>
        <w:tc>
          <w:tcPr>
            <w:tcW w:w="892"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871"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94"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892"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0.18</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871"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0.15</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一、关于湟源县交通运输局（本级）2023年部门收支预算情况的总体说明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交通运输局（本级）所有收入和支出均纳入部门预算管理。收入包括：一般公共预算拨款收入2332.78万元，上年结转3704.23万元；支出包括：社会保障和就业支出33.16万元，卫生健康支出15.29万元，农林水支出409.61万元，交通运输支出5570.21万元，住房保障支出8.73万元。湟源县交通运输局（本级）2023年收支总预算6037.01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二、关于湟源县交通运输局（本级）2023年部门收入预算情况说明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湟源县交通运输局（本级）2023年收入预算6037.01万元，其中：上年结转3704.23万元，占61.36%；一般公共预算拨款收入2332.78万元，占38.64%。</w:t>
      </w:r>
    </w:p>
    <w:p>
      <w:pPr>
        <w:ind w:firstLine="640" w:firstLineChars="200"/>
        <w:rPr>
          <w:rFonts w:ascii="仿宋_GB2312" w:eastAsia="仿宋_GB2312"/>
          <w:sz w:val="32"/>
          <w:szCs w:val="32"/>
        </w:rPr>
      </w:pPr>
      <w:r>
        <w:rPr>
          <w:rFonts w:ascii="仿宋_GB2312" w:eastAsia="仿宋_GB2312"/>
          <w:sz w:val="32"/>
          <w:szCs w:val="32"/>
        </w:rPr>
        <w:drawing>
          <wp:inline distT="0" distB="0" distL="0" distR="0">
            <wp:extent cx="4667250" cy="2152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67250" cy="215265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三、关于湟源县交通运输局（本级）2023年部门支出预算情况说明</w:t>
      </w:r>
    </w:p>
    <w:p>
      <w:pPr>
        <w:ind w:firstLine="645"/>
        <w:rPr>
          <w:rFonts w:ascii="仿宋_GB2312" w:eastAsia="仿宋_GB2312"/>
          <w:sz w:val="32"/>
          <w:szCs w:val="32"/>
        </w:rPr>
      </w:pPr>
      <w:r>
        <w:rPr>
          <w:rFonts w:hint="eastAsia" w:ascii="仿宋_GB2312" w:eastAsia="仿宋_GB2312"/>
          <w:sz w:val="32"/>
          <w:szCs w:val="32"/>
        </w:rPr>
        <w:t>湟源县交通运输局（本级）2023年支出预算6037.01万元，其中：基本支出152.77万元，占2.53%；项目支出5884.24万元，占97.47%。</w:t>
      </w:r>
    </w:p>
    <w:p>
      <w:pPr>
        <w:ind w:firstLine="645"/>
        <w:rPr>
          <w:rFonts w:ascii="仿宋_GB2312" w:eastAsia="仿宋_GB2312"/>
          <w:sz w:val="32"/>
          <w:szCs w:val="32"/>
        </w:rPr>
      </w:pPr>
      <w:r>
        <w:rPr>
          <w:rFonts w:ascii="仿宋_GB2312" w:eastAsia="仿宋_GB2312"/>
          <w:sz w:val="32"/>
          <w:szCs w:val="32"/>
        </w:rPr>
        <w:drawing>
          <wp:inline distT="0" distB="0" distL="0" distR="0">
            <wp:extent cx="4667250" cy="2152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0" cy="2152650"/>
                    </a:xfrm>
                    <a:prstGeom prst="rect">
                      <a:avLst/>
                    </a:prstGeom>
                    <a:noFill/>
                    <a:ln>
                      <a:noFill/>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四、关于湟源县交通运输局（本级）2023年财政拨款收支预算情况的总体说明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湟源县交通运输局（本级）2023年财政拨款收支总预算6037.01万元，比上年增加1409.53万元，主要是社会保障和就业支出、卫生健康、农林水支出</w:t>
      </w:r>
      <w:r>
        <w:rPr>
          <w:rFonts w:hint="eastAsia" w:ascii="仿宋_GB2312" w:eastAsia="仿宋_GB2312"/>
          <w:sz w:val="32"/>
          <w:szCs w:val="32"/>
          <w:lang w:eastAsia="zh-CN"/>
        </w:rPr>
        <w:t>、</w:t>
      </w:r>
      <w:r>
        <w:rPr>
          <w:rFonts w:hint="eastAsia" w:ascii="仿宋_GB2312" w:eastAsia="仿宋_GB2312"/>
          <w:sz w:val="32"/>
          <w:szCs w:val="32"/>
        </w:rPr>
        <w:t>交通运输支出都有增加。原因是公务员人员调动，工资增加；农村公路项目支出增加。收入包括：一般公共预算拨款收入2332.78万元，上年结转3704.23万元；政府性基金预算拨款收入0.00万元，上年结转0.00万元。支出包括： 社会保障和就业支出33.16万元， 卫生健康支出15.29万元， 农林水支出409.61万元， 交通运输支出5570.21万元， 住房保障支出8.73万元。</w:t>
      </w:r>
    </w:p>
    <w:p>
      <w:pPr>
        <w:ind w:firstLine="645"/>
        <w:rPr>
          <w:rFonts w:ascii="仿宋_GB2312" w:eastAsia="仿宋_GB2312"/>
          <w:sz w:val="32"/>
          <w:szCs w:val="32"/>
        </w:rPr>
      </w:pPr>
      <w:r>
        <w:rPr>
          <w:rFonts w:ascii="仿宋_GB2312" w:eastAsia="仿宋_GB2312"/>
          <w:sz w:val="32"/>
          <w:szCs w:val="32"/>
        </w:rPr>
        <w:drawing>
          <wp:inline distT="0" distB="0" distL="0" distR="0">
            <wp:extent cx="4686300" cy="2152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86300" cy="215265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五、关于湟源县交通运输局（本级）2023年一般公共预算当年拨款情况说明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湟源县交通运输局（本级）2023年一般公共预算当年拨款2332.78万元,比上年增加1837.50万元，主要是社会保障和就业支出、卫生健康、农林水支出</w:t>
      </w:r>
      <w:r>
        <w:rPr>
          <w:rFonts w:hint="eastAsia" w:ascii="仿宋_GB2312" w:eastAsia="仿宋_GB2312"/>
          <w:sz w:val="32"/>
          <w:szCs w:val="32"/>
          <w:lang w:eastAsia="zh-CN"/>
        </w:rPr>
        <w:t>、</w:t>
      </w:r>
      <w:r>
        <w:rPr>
          <w:rFonts w:hint="eastAsia" w:ascii="仿宋_GB2312" w:eastAsia="仿宋_GB2312"/>
          <w:sz w:val="32"/>
          <w:szCs w:val="32"/>
        </w:rPr>
        <w:t>交通运输支出都有增加。原因是公务员人员调动，工资增加；农村公路项目支出增加。</w:t>
      </w:r>
      <w:r>
        <w:rPr>
          <w:rFonts w:ascii="仿宋_GB2312" w:eastAsia="仿宋_GB2312"/>
          <w:iCs/>
          <w:sz w:val="32"/>
          <w:szCs w:val="32"/>
        </w:rPr>
        <w:drawing>
          <wp:inline distT="0" distB="0" distL="0" distR="0">
            <wp:extent cx="4476750" cy="1533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76750" cy="1533525"/>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社会保障和就业支出33.16万元，占1.42%；卫生健康支出12.29万元，占0.53%；农林水支出400.00万元，占17.15%；交通运输支出1878.59万元，占80.53%；住房保障支出8.73万元，占0.37%。</w:t>
      </w:r>
    </w:p>
    <w:p>
      <w:pPr>
        <w:ind w:firstLine="645"/>
        <w:rPr>
          <w:rFonts w:ascii="仿宋_GB2312" w:eastAsia="仿宋_GB2312"/>
          <w:sz w:val="32"/>
          <w:szCs w:val="32"/>
        </w:rPr>
      </w:pPr>
      <w:r>
        <w:rPr>
          <w:rFonts w:ascii="仿宋_GB2312" w:eastAsia="仿宋_GB2312"/>
          <w:sz w:val="32"/>
          <w:szCs w:val="32"/>
        </w:rPr>
        <w:drawing>
          <wp:inline distT="0" distB="0" distL="0" distR="0">
            <wp:extent cx="4648200" cy="2133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48200" cy="213360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eastAsia="zh-CN"/>
        </w:rPr>
      </w:pPr>
      <w:r>
        <w:rPr>
          <w:rFonts w:hint="eastAsia" w:ascii="仿宋_GB2312" w:eastAsia="仿宋_GB2312"/>
          <w:sz w:val="32"/>
          <w:szCs w:val="32"/>
        </w:rPr>
        <w:t>1、社会保障和就业支出（类）行政事业单位养老支出（款）机关事业单位基本养老保险缴费支出（项）2023年预算数为10.03万元，比上年增加0.30万元，增长3.08%。主要是人员变动，基数调整</w:t>
      </w:r>
      <w:r>
        <w:rPr>
          <w:rFonts w:hint="eastAsia" w:ascii="仿宋_GB2312" w:eastAsia="仿宋_GB2312"/>
          <w:sz w:val="32"/>
          <w:szCs w:val="32"/>
          <w:lang w:eastAsia="zh-CN"/>
        </w:rPr>
        <w:t>。</w:t>
      </w:r>
    </w:p>
    <w:p>
      <w:pPr>
        <w:ind w:firstLine="645"/>
        <w:rPr>
          <w:rFonts w:hint="eastAsia" w:ascii="仿宋_GB2312" w:eastAsia="仿宋_GB2312"/>
          <w:sz w:val="32"/>
          <w:szCs w:val="32"/>
          <w:lang w:eastAsia="zh-CN"/>
        </w:rPr>
      </w:pPr>
      <w:r>
        <w:rPr>
          <w:rFonts w:hint="eastAsia" w:ascii="仿宋_GB2312" w:eastAsia="仿宋_GB2312"/>
          <w:sz w:val="32"/>
          <w:szCs w:val="32"/>
        </w:rPr>
        <w:t>2、社会保障和就业支出（类）行政事业单位养老支出（款）机关事业单位职业年金缴费支出（项）2023年预算数为5.02万元，比上年增加0.15万元，增长3.08%。主要是人员变动，基数调整</w:t>
      </w:r>
      <w:r>
        <w:rPr>
          <w:rFonts w:hint="eastAsia" w:ascii="仿宋_GB2312" w:eastAsia="仿宋_GB2312"/>
          <w:sz w:val="32"/>
          <w:szCs w:val="32"/>
          <w:lang w:eastAsia="zh-CN"/>
        </w:rPr>
        <w:t>。</w:t>
      </w:r>
    </w:p>
    <w:p>
      <w:pPr>
        <w:ind w:firstLine="645"/>
        <w:rPr>
          <w:rFonts w:hint="eastAsia" w:ascii="仿宋_GB2312" w:eastAsia="仿宋_GB2312"/>
          <w:sz w:val="32"/>
          <w:szCs w:val="32"/>
          <w:lang w:eastAsia="zh-CN"/>
        </w:rPr>
      </w:pPr>
      <w:r>
        <w:rPr>
          <w:rFonts w:hint="eastAsia" w:ascii="仿宋_GB2312" w:eastAsia="仿宋_GB2312"/>
          <w:sz w:val="32"/>
          <w:szCs w:val="32"/>
        </w:rPr>
        <w:t>3、社会保障和就业支出（类）行政事业单位养老支出（款）其他行政事业单位养老支出（项）2023年预算数为18.01万元，比上年增加5.29万元，增长41.59%。主要是人员变动，基数调整</w:t>
      </w:r>
      <w:r>
        <w:rPr>
          <w:rFonts w:hint="eastAsia" w:ascii="仿宋_GB2312" w:eastAsia="仿宋_GB2312"/>
          <w:sz w:val="32"/>
          <w:szCs w:val="32"/>
          <w:lang w:eastAsia="zh-CN"/>
        </w:rPr>
        <w:t>。</w:t>
      </w:r>
    </w:p>
    <w:p>
      <w:pPr>
        <w:ind w:firstLine="645"/>
        <w:rPr>
          <w:rFonts w:hint="eastAsia" w:ascii="仿宋_GB2312" w:eastAsia="仿宋_GB2312"/>
          <w:sz w:val="32"/>
          <w:szCs w:val="32"/>
          <w:lang w:eastAsia="zh-CN"/>
        </w:rPr>
      </w:pPr>
      <w:r>
        <w:rPr>
          <w:rFonts w:hint="eastAsia" w:ascii="仿宋_GB2312" w:eastAsia="仿宋_GB2312"/>
          <w:sz w:val="32"/>
          <w:szCs w:val="32"/>
        </w:rPr>
        <w:t>4、社会保障和就业支出（类）其他社会保障和就业支出（款）其他社会保障和就业支出（项）2023年预算数为0.11万元，比上年减少0.04万元，下降26.67%。主要是人员变动，基数调整</w:t>
      </w:r>
      <w:r>
        <w:rPr>
          <w:rFonts w:hint="eastAsia" w:ascii="仿宋_GB2312" w:eastAsia="仿宋_GB2312"/>
          <w:sz w:val="32"/>
          <w:szCs w:val="32"/>
          <w:lang w:eastAsia="zh-CN"/>
        </w:rPr>
        <w:t>。</w:t>
      </w:r>
    </w:p>
    <w:p>
      <w:pPr>
        <w:ind w:firstLine="645"/>
        <w:rPr>
          <w:rFonts w:hint="eastAsia" w:ascii="仿宋_GB2312" w:eastAsia="仿宋_GB2312"/>
          <w:sz w:val="32"/>
          <w:szCs w:val="32"/>
          <w:lang w:eastAsia="zh-CN"/>
        </w:rPr>
      </w:pPr>
      <w:r>
        <w:rPr>
          <w:rFonts w:hint="eastAsia" w:ascii="仿宋_GB2312" w:eastAsia="仿宋_GB2312"/>
          <w:sz w:val="32"/>
          <w:szCs w:val="32"/>
        </w:rPr>
        <w:t>5、卫生健康支出（类）行政事业单位医疗（款）行政单位医疗（项）2023年预算数为7.94万元，比上年减少0.80万元，下降9.15%。主要是人员变动，基数调整</w:t>
      </w:r>
      <w:r>
        <w:rPr>
          <w:rFonts w:hint="eastAsia" w:ascii="仿宋_GB2312" w:eastAsia="仿宋_GB2312"/>
          <w:sz w:val="32"/>
          <w:szCs w:val="32"/>
          <w:lang w:eastAsia="zh-CN"/>
        </w:rPr>
        <w:t>。</w:t>
      </w:r>
    </w:p>
    <w:p>
      <w:pPr>
        <w:ind w:firstLine="645"/>
        <w:rPr>
          <w:rFonts w:hint="eastAsia" w:ascii="仿宋_GB2312" w:eastAsia="仿宋_GB2312"/>
          <w:sz w:val="32"/>
          <w:szCs w:val="32"/>
          <w:lang w:eastAsia="zh-CN"/>
        </w:rPr>
      </w:pPr>
      <w:r>
        <w:rPr>
          <w:rFonts w:hint="eastAsia" w:ascii="仿宋_GB2312" w:eastAsia="仿宋_GB2312"/>
          <w:sz w:val="32"/>
          <w:szCs w:val="32"/>
        </w:rPr>
        <w:t>6、卫生健康支出（类）行政事业单位医疗（款）公务员医疗补助（项）2023年预算数为4.35万元，比上年减少1.56万元，下降26.40%。主要是人员变动，基数调整</w:t>
      </w:r>
      <w:r>
        <w:rPr>
          <w:rFonts w:hint="eastAsia" w:ascii="仿宋_GB2312" w:eastAsia="仿宋_GB2312"/>
          <w:sz w:val="32"/>
          <w:szCs w:val="32"/>
          <w:lang w:eastAsia="zh-CN"/>
        </w:rPr>
        <w:t>。</w:t>
      </w:r>
    </w:p>
    <w:p>
      <w:pPr>
        <w:ind w:firstLine="645"/>
        <w:rPr>
          <w:rFonts w:ascii="仿宋_GB2312" w:eastAsia="仿宋_GB2312"/>
          <w:sz w:val="32"/>
          <w:szCs w:val="32"/>
        </w:rPr>
      </w:pPr>
      <w:r>
        <w:rPr>
          <w:rFonts w:hint="eastAsia" w:ascii="仿宋_GB2312" w:eastAsia="仿宋_GB2312"/>
          <w:sz w:val="32"/>
          <w:szCs w:val="32"/>
        </w:rPr>
        <w:t>7、农林水支出（类）巩固脱贫攻坚成果衔接乡村振兴（款）其他巩固脱贫攻坚成果衔接乡村振兴支出（项）2023年预算数为400.00万元，比上年增加400.00万元，增长100.00%。</w:t>
      </w:r>
      <w:bookmarkStart w:id="6" w:name="_Hlk136877850"/>
      <w:r>
        <w:rPr>
          <w:rFonts w:hint="eastAsia" w:ascii="仿宋_GB2312" w:eastAsia="仿宋_GB2312"/>
          <w:sz w:val="32"/>
          <w:szCs w:val="32"/>
        </w:rPr>
        <w:t>主要是2</w:t>
      </w:r>
      <w:r>
        <w:rPr>
          <w:rFonts w:ascii="仿宋_GB2312" w:eastAsia="仿宋_GB2312"/>
          <w:sz w:val="32"/>
          <w:szCs w:val="32"/>
        </w:rPr>
        <w:t>023</w:t>
      </w:r>
      <w:r>
        <w:rPr>
          <w:rFonts w:hint="eastAsia" w:ascii="仿宋_GB2312" w:eastAsia="仿宋_GB2312"/>
          <w:sz w:val="32"/>
          <w:szCs w:val="32"/>
        </w:rPr>
        <w:t>年拨入乡村振兴衔接资金用于农村公路项目建设，其全部用于项目建设支出。</w:t>
      </w:r>
    </w:p>
    <w:bookmarkEnd w:id="6"/>
    <w:p>
      <w:pPr>
        <w:ind w:firstLine="645"/>
        <w:rPr>
          <w:rFonts w:ascii="仿宋_GB2312" w:eastAsia="仿宋_GB2312"/>
          <w:sz w:val="32"/>
          <w:szCs w:val="32"/>
        </w:rPr>
      </w:pPr>
      <w:r>
        <w:rPr>
          <w:rFonts w:hint="eastAsia" w:ascii="仿宋_GB2312" w:eastAsia="仿宋_GB2312"/>
          <w:sz w:val="32"/>
          <w:szCs w:val="32"/>
        </w:rPr>
        <w:t>8、交通运输支出（类）公路水路运输（款）行政运行（项）2023年预算数为142.58万元，比上年减少7.15万元，下降4.78%。主要是压缩公用经费支出。</w:t>
      </w:r>
    </w:p>
    <w:p>
      <w:pPr>
        <w:ind w:firstLine="645"/>
        <w:rPr>
          <w:rFonts w:ascii="仿宋_GB2312" w:eastAsia="仿宋_GB2312"/>
          <w:sz w:val="32"/>
          <w:szCs w:val="32"/>
        </w:rPr>
      </w:pPr>
      <w:r>
        <w:rPr>
          <w:rFonts w:hint="eastAsia" w:ascii="仿宋_GB2312" w:eastAsia="仿宋_GB2312"/>
          <w:sz w:val="32"/>
          <w:szCs w:val="32"/>
        </w:rPr>
        <w:t>9、交通运输支出（类）公路水路运输（款）其他公路水路运输支出（项）2023年预算数为50.00万元，比上年增加10.00万元，增长25.00%。主要是公交公司冷线营运补贴增加。</w:t>
      </w:r>
    </w:p>
    <w:p>
      <w:pPr>
        <w:ind w:firstLine="645"/>
        <w:rPr>
          <w:rFonts w:ascii="仿宋_GB2312" w:eastAsia="仿宋_GB2312"/>
          <w:sz w:val="32"/>
          <w:szCs w:val="32"/>
        </w:rPr>
      </w:pPr>
      <w:r>
        <w:rPr>
          <w:rFonts w:hint="eastAsia" w:ascii="仿宋_GB2312" w:eastAsia="仿宋_GB2312"/>
          <w:sz w:val="32"/>
          <w:szCs w:val="32"/>
        </w:rPr>
        <w:t>10、交通运输支出（类）车辆购置税支出（款）车辆购置税用于农村公路建设支出（项）2023年预算数为1686.01万元，比上年增加1431.44万元，增长562.30%。主要是2</w:t>
      </w:r>
      <w:r>
        <w:rPr>
          <w:rFonts w:ascii="仿宋_GB2312" w:eastAsia="仿宋_GB2312"/>
          <w:sz w:val="32"/>
          <w:szCs w:val="32"/>
        </w:rPr>
        <w:t>023</w:t>
      </w:r>
      <w:r>
        <w:rPr>
          <w:rFonts w:hint="eastAsia" w:ascii="仿宋_GB2312" w:eastAsia="仿宋_GB2312"/>
          <w:sz w:val="32"/>
          <w:szCs w:val="32"/>
        </w:rPr>
        <w:t>年车辆购置税拨入，农村公路项目增加。</w:t>
      </w:r>
    </w:p>
    <w:p>
      <w:pPr>
        <w:ind w:firstLine="645"/>
        <w:rPr>
          <w:rFonts w:ascii="仿宋_GB2312" w:eastAsia="仿宋_GB2312"/>
          <w:sz w:val="32"/>
          <w:szCs w:val="32"/>
        </w:rPr>
      </w:pPr>
      <w:r>
        <w:rPr>
          <w:rFonts w:hint="eastAsia" w:ascii="仿宋_GB2312" w:eastAsia="仿宋_GB2312"/>
          <w:sz w:val="32"/>
          <w:szCs w:val="32"/>
        </w:rPr>
        <w:t>11、住房保障支出（类）住房改革支出（款）住房公积金（项）2023年预算数为8.73万元，比上年减少0.13万元，下降1.47%。主要是人员调整，基数变动。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湟源县交通运输局（本级）2023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湟源县交通运输局（本级）2023年一般公共预算基本支出152.77万元，其中：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143.12万元，主要包括：基本工资25.01万元、津贴补贴29.74万元、奖金27.57万元、机关事业单位基本养老保险缴费10.03万元、职业年金缴费5.02万元、职工基本医疗保险缴费3.54万元、公务员医疗补助缴费4.35万元、其他社会保障缴费0.11万元、住房公积金8.73万元、其他工资福利支出6.60万元、退休费17.16万元、生活补助0.84万元、医疗费补助4.41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9.65万元，主要包括：办公费0.55万元、水费0.10万元、电费0.10万元、邮电费0.40万元、取暖费0.50万元、差旅费0.45万元、公务接待费0.15万元、工会经费1.09万元、公务用车运行维护费1.00万元、其他交通费用4.76万元、其他商品和服务支出0.55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湟源县交通运输局（本级）2023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ascii="仿宋_GB2312" w:eastAsia="仿宋_GB2312"/>
          <w:sz w:val="32"/>
          <w:szCs w:val="32"/>
        </w:rPr>
      </w:pPr>
      <w:r>
        <w:rPr>
          <w:rFonts w:hint="eastAsia" w:ascii="仿宋_GB2312" w:eastAsia="仿宋_GB2312"/>
          <w:sz w:val="32"/>
          <w:szCs w:val="32"/>
        </w:rPr>
        <w:t>湟源县交通运输局（本级）2023年一般公共预算“三公”经费预算数为1.15万元，比上年减少0.03万元，其中：因公出国（境）费0.00万元，增加0.00万元；公务用车购置及运行费1.00万元，增加0.00万元；公务接待费0.15万元，减少0.03万元。2023年“三公”经费预算比上年减少主要是压缩经费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湟源县交通运输局（本级）2023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湟源县交通运输局（本级）2023年没有使用政府性基金预算拨款安排的支出。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2023年湟源县交通运输局（本级）机关运行经费财政拨款预算9.65万元，比上年预算减少2.21万元，下降18.63%。主要是压缩经费，办公用品购置减少。</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2023年湟源县交通运输局（本级）各单位政府采购预算总额3987.61万元，其中：政府采购货物预算13.61万元、政府采购工程预算387</w:t>
      </w:r>
      <w:r>
        <w:rPr>
          <w:rFonts w:hint="eastAsia" w:ascii="仿宋_GB2312" w:hAnsi="仿宋" w:eastAsia="仿宋_GB2312"/>
          <w:spacing w:val="-6"/>
          <w:kern w:val="2"/>
          <w:sz w:val="32"/>
          <w:szCs w:val="32"/>
          <w:lang w:val="en-US" w:eastAsia="zh-CN"/>
        </w:rPr>
        <w:t>7.00</w:t>
      </w:r>
      <w:r>
        <w:rPr>
          <w:rFonts w:hint="eastAsia" w:ascii="仿宋_GB2312" w:hAnsi="仿宋" w:eastAsia="仿宋_GB2312"/>
          <w:spacing w:val="-6"/>
          <w:kern w:val="2"/>
          <w:sz w:val="32"/>
          <w:szCs w:val="32"/>
          <w:lang w:val="en-US"/>
        </w:rPr>
        <w:t>万元、政府采购服务预算9</w:t>
      </w:r>
      <w:r>
        <w:rPr>
          <w:rFonts w:hint="eastAsia" w:ascii="仿宋_GB2312" w:hAnsi="仿宋" w:eastAsia="仿宋_GB2312"/>
          <w:spacing w:val="-6"/>
          <w:kern w:val="2"/>
          <w:sz w:val="32"/>
          <w:szCs w:val="32"/>
          <w:lang w:val="en-US" w:eastAsia="zh-CN"/>
        </w:rPr>
        <w:t>7.00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截至2023年2月底，湟源县交通运输局（本级）所属各预算单位共有车辆</w:t>
      </w:r>
      <w:r>
        <w:rPr>
          <w:rFonts w:ascii="仿宋_GB2312" w:hAnsi="仿宋" w:eastAsia="仿宋_GB2312"/>
          <w:spacing w:val="-6"/>
          <w:kern w:val="2"/>
          <w:sz w:val="32"/>
          <w:szCs w:val="32"/>
          <w:lang w:val="en-US"/>
        </w:rPr>
        <w:t>1</w:t>
      </w:r>
      <w:r>
        <w:rPr>
          <w:rFonts w:hint="eastAsia" w:ascii="仿宋_GB2312" w:hAnsi="仿宋" w:eastAsia="仿宋_GB2312"/>
          <w:spacing w:val="-6"/>
          <w:kern w:val="2"/>
          <w:sz w:val="32"/>
          <w:szCs w:val="32"/>
          <w:lang w:val="en-US"/>
        </w:rPr>
        <w:t>辆，其中，省级领导干部用车</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辆、厅级领导干部用车</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辆、一般公务用车</w:t>
      </w:r>
      <w:r>
        <w:rPr>
          <w:rFonts w:ascii="仿宋_GB2312" w:hAnsi="仿宋" w:eastAsia="仿宋_GB2312"/>
          <w:spacing w:val="-6"/>
          <w:kern w:val="2"/>
          <w:sz w:val="32"/>
          <w:szCs w:val="32"/>
          <w:lang w:val="en-US"/>
        </w:rPr>
        <w:t>1</w:t>
      </w:r>
      <w:r>
        <w:rPr>
          <w:rFonts w:hint="eastAsia" w:ascii="仿宋_GB2312" w:hAnsi="仿宋" w:eastAsia="仿宋_GB2312"/>
          <w:spacing w:val="-6"/>
          <w:kern w:val="2"/>
          <w:sz w:val="32"/>
          <w:szCs w:val="32"/>
          <w:lang w:val="en-US"/>
        </w:rPr>
        <w:t>辆、一般执法执勤用车</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辆、特种专业技术用车</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辆、其他用车</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辆。单价50万元以上通用设备</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台（套），单价100万元以上专用设备</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2023年湟源县交通运输局（本级）预算均实行绩效目标管理，涉及项目6个，预算金额2180.01万元。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p>
    <w:tbl>
      <w:tblPr>
        <w:tblStyle w:val="5"/>
        <w:tblW w:w="9989" w:type="dxa"/>
        <w:jc w:val="center"/>
        <w:tblLayout w:type="fixed"/>
        <w:tblCellMar>
          <w:top w:w="0" w:type="dxa"/>
          <w:left w:w="108" w:type="dxa"/>
          <w:bottom w:w="0" w:type="dxa"/>
          <w:right w:w="108" w:type="dxa"/>
        </w:tblCellMar>
      </w:tblPr>
      <w:tblGrid>
        <w:gridCol w:w="1162"/>
        <w:gridCol w:w="1144"/>
        <w:gridCol w:w="1602"/>
        <w:gridCol w:w="776"/>
        <w:gridCol w:w="867"/>
        <w:gridCol w:w="1582"/>
        <w:gridCol w:w="911"/>
        <w:gridCol w:w="978"/>
        <w:gridCol w:w="967"/>
      </w:tblGrid>
      <w:tr>
        <w:tblPrEx>
          <w:tblCellMar>
            <w:top w:w="0" w:type="dxa"/>
            <w:left w:w="108" w:type="dxa"/>
            <w:bottom w:w="0" w:type="dxa"/>
            <w:right w:w="108" w:type="dxa"/>
          </w:tblCellMar>
        </w:tblPrEx>
        <w:trPr>
          <w:trHeight w:val="420" w:hRule="atLeast"/>
          <w:jc w:val="center"/>
        </w:trPr>
        <w:tc>
          <w:tcPr>
            <w:tcW w:w="9989"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lang w:bidi="ar"/>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3908"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预算年度：2023</w:t>
            </w:r>
          </w:p>
        </w:tc>
        <w:tc>
          <w:tcPr>
            <w:tcW w:w="7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6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8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11"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945"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80"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项目名称</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批复数</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绩效目标</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绩效指标性质</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绩效指标值</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绩效度量单位</w:t>
            </w:r>
          </w:p>
        </w:tc>
      </w:tr>
      <w:tr>
        <w:tblPrEx>
          <w:tblCellMar>
            <w:top w:w="0" w:type="dxa"/>
            <w:left w:w="108" w:type="dxa"/>
            <w:bottom w:w="0" w:type="dxa"/>
            <w:right w:w="108" w:type="dxa"/>
          </w:tblCellMar>
        </w:tblPrEx>
        <w:trPr>
          <w:trHeight w:val="28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一级指标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三级指标</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车辆购置税收入补助地方资金</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1,686.01</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主要用于重点公路、一般公路、国防公路、部队进出口道路等项目建设</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时效指标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按期完成投资</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生态效益指标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交通建设符合环评审批要求</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112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服务对象满意度指标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改善通行服务水平群众满意度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财政衔接推进乡村振兴补助资金项目</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400.00</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推进乡村振兴，加快农村公路建设。</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质量指标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资金使用合规性</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社会效益指标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公路安全水平</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112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服务对象满意度指标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改善通行服务水平群众满意度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优良中低差</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人/户</w:t>
            </w:r>
          </w:p>
        </w:tc>
      </w:tr>
      <w:tr>
        <w:tblPrEx>
          <w:tblCellMar>
            <w:top w:w="0" w:type="dxa"/>
            <w:left w:w="108" w:type="dxa"/>
            <w:bottom w:w="0" w:type="dxa"/>
            <w:right w:w="108" w:type="dxa"/>
          </w:tblCellMar>
        </w:tblPrEx>
        <w:trPr>
          <w:trHeight w:val="1400"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2023年公交卡、老年卡、学生卡补助</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20.00</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　便利老百姓的出行，降低出行成本，保障出行安全，降低交通事故带来的一系列社会问题。</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质量指标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保障安全出行，降低了交通事故带来的风险</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r>
      <w:tr>
        <w:tblPrEx>
          <w:tblCellMar>
            <w:top w:w="0" w:type="dxa"/>
            <w:left w:w="108" w:type="dxa"/>
            <w:bottom w:w="0" w:type="dxa"/>
            <w:right w:w="108" w:type="dxa"/>
          </w:tblCellMar>
        </w:tblPrEx>
        <w:trPr>
          <w:trHeight w:val="84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社会效益指标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老百姓受益率高，社会稳定</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r>
      <w:tr>
        <w:tblPrEx>
          <w:tblCellMar>
            <w:top w:w="0" w:type="dxa"/>
            <w:left w:w="108" w:type="dxa"/>
            <w:bottom w:w="0" w:type="dxa"/>
            <w:right w:w="108" w:type="dxa"/>
          </w:tblCellMar>
        </w:tblPrEx>
        <w:trPr>
          <w:trHeight w:val="84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服务对象满意度指标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老百姓对公交卡的使用程度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优良中低差</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2023年“冷线”营运补贴</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30.00</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对城关镇冷线营运补贴</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质量指标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“冷线”营运使用率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经济效益指标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补贴线路收入</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元</w:t>
            </w:r>
          </w:p>
        </w:tc>
      </w:tr>
      <w:tr>
        <w:tblPrEx>
          <w:tblCellMar>
            <w:top w:w="0" w:type="dxa"/>
            <w:left w:w="108" w:type="dxa"/>
            <w:bottom w:w="0" w:type="dxa"/>
            <w:right w:w="108" w:type="dxa"/>
          </w:tblCellMar>
        </w:tblPrEx>
        <w:trPr>
          <w:trHeight w:val="84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服务对象满意度指标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服务对象满意度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2023年局业务补助经费</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15.00</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业务补助经费，保证单位工作正常运转。</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质量指标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日常培训合格率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r>
      <w:tr>
        <w:tblPrEx>
          <w:tblCellMar>
            <w:top w:w="0" w:type="dxa"/>
            <w:left w:w="108" w:type="dxa"/>
            <w:bottom w:w="0" w:type="dxa"/>
            <w:right w:w="108" w:type="dxa"/>
          </w:tblCellMar>
        </w:tblPrEx>
        <w:trPr>
          <w:trHeight w:val="112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可持续影响指标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规范业务流程，提高工作效率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服务对象满意度指标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群众对日常工作的受益程度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2023年综合业务工作经费</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29.00</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工作运行经费，保障交通工作的正常进行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质量指标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办公用品支出情况</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社会效益指标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交通工作带来的社会效益</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优良中低差</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w:t>
            </w:r>
          </w:p>
        </w:tc>
      </w:tr>
      <w:tr>
        <w:tblPrEx>
          <w:tblCellMar>
            <w:top w:w="0" w:type="dxa"/>
            <w:left w:w="108" w:type="dxa"/>
            <w:bottom w:w="0" w:type="dxa"/>
            <w:right w:w="108" w:type="dxa"/>
          </w:tblCellMar>
        </w:tblPrEx>
        <w:trPr>
          <w:trHeight w:val="84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服务对象满意度指标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帮扶对象满意度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优良中低差</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ascii="仿宋_GB2312" w:eastAsia="仿宋_GB2312"/>
          <w:sz w:val="32"/>
          <w:szCs w:val="32"/>
        </w:rPr>
      </w:pPr>
      <w:r>
        <w:rPr>
          <w:rFonts w:hint="eastAsia" w:ascii="仿宋_GB2312" w:eastAsia="仿宋_GB2312"/>
          <w:b/>
          <w:bCs/>
          <w:sz w:val="32"/>
          <w:szCs w:val="32"/>
        </w:rPr>
        <w:t>（一）社会保障和就业支出（类）行政事业单位养老支出（款）机关事业单位基本养老保险缴费支出（项）：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rFonts w:ascii="仿宋_GB2312" w:eastAsia="仿宋_GB2312"/>
          <w:sz w:val="32"/>
          <w:szCs w:val="32"/>
        </w:rPr>
      </w:pPr>
      <w:r>
        <w:rPr>
          <w:rFonts w:hint="eastAsia" w:ascii="仿宋_GB2312" w:eastAsia="仿宋_GB2312"/>
          <w:b/>
          <w:bCs/>
          <w:sz w:val="32"/>
          <w:szCs w:val="32"/>
        </w:rPr>
        <w:t>（二）社会保障和就业支出（类）行政事业单位养老支出（款）机关事业单位职业年金缴费支出（项）：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ind w:firstLine="643" w:firstLineChars="200"/>
        <w:rPr>
          <w:rFonts w:ascii="仿宋_GB2312" w:eastAsia="仿宋_GB2312"/>
          <w:sz w:val="32"/>
          <w:szCs w:val="32"/>
        </w:rPr>
      </w:pPr>
      <w:r>
        <w:rPr>
          <w:rFonts w:hint="eastAsia" w:ascii="仿宋_GB2312" w:eastAsia="仿宋_GB2312"/>
          <w:b/>
          <w:bCs/>
          <w:sz w:val="32"/>
          <w:szCs w:val="32"/>
        </w:rPr>
        <w:t>（三）社会保障和就业支出（类）行政事业单位养老支出（款）其他行政事业单位养老支出（项）：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rFonts w:ascii="仿宋_GB2312" w:eastAsia="仿宋_GB2312"/>
          <w:sz w:val="32"/>
          <w:szCs w:val="32"/>
        </w:rPr>
      </w:pPr>
      <w:r>
        <w:rPr>
          <w:rFonts w:hint="eastAsia" w:ascii="仿宋_GB2312" w:eastAsia="仿宋_GB2312"/>
          <w:b/>
          <w:bCs/>
          <w:sz w:val="32"/>
          <w:szCs w:val="32"/>
        </w:rPr>
        <w:t>（四）社会保障和就业支出（类）其他社会保障和就业支出（款）其他社会保障和就业支出（项）：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rPr>
          <w:rFonts w:ascii="仿宋_GB2312" w:eastAsia="仿宋_GB2312"/>
          <w:sz w:val="32"/>
          <w:szCs w:val="32"/>
        </w:rPr>
      </w:pPr>
      <w:r>
        <w:rPr>
          <w:rFonts w:hint="eastAsia" w:ascii="仿宋_GB2312" w:eastAsia="仿宋_GB2312"/>
          <w:b/>
          <w:bCs/>
          <w:sz w:val="32"/>
          <w:szCs w:val="32"/>
        </w:rPr>
        <w:t>（五）卫生健康支出（类）行政事业单位医疗（款）行政单位医疗（项）：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ascii="仿宋_GB2312" w:eastAsia="仿宋_GB2312"/>
          <w:sz w:val="32"/>
          <w:szCs w:val="32"/>
        </w:rPr>
      </w:pPr>
      <w:r>
        <w:rPr>
          <w:rFonts w:hint="eastAsia" w:ascii="仿宋_GB2312" w:eastAsia="仿宋_GB2312"/>
          <w:b/>
          <w:bCs/>
          <w:sz w:val="32"/>
          <w:szCs w:val="32"/>
        </w:rPr>
        <w:t>（六）卫生健康支出（类）行政事业单位医疗（款）公务员医疗补助（项）：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rPr>
          <w:rFonts w:ascii="仿宋_GB2312" w:eastAsia="仿宋_GB2312"/>
          <w:sz w:val="32"/>
          <w:szCs w:val="32"/>
        </w:rPr>
      </w:pPr>
      <w:r>
        <w:rPr>
          <w:rFonts w:hint="eastAsia" w:ascii="仿宋_GB2312" w:eastAsia="仿宋_GB2312"/>
          <w:b/>
          <w:bCs/>
          <w:sz w:val="32"/>
          <w:szCs w:val="32"/>
        </w:rPr>
        <w:t>（七）农林水支出（类）巩固脱贫攻坚成果衔接乡村振兴（款）其他巩固脱贫攻坚成果衔接乡村振兴支出（项）：</w:t>
      </w:r>
      <w:r>
        <w:rPr>
          <w:rFonts w:hint="eastAsia" w:ascii="仿宋_GB2312" w:eastAsia="仿宋_GB2312"/>
          <w:sz w:val="32"/>
          <w:szCs w:val="32"/>
        </w:rPr>
        <w:t>反映除上述项目以外其他用于巩固拓展脱贫攻坚成果同乡村振兴有效衔接方面的支出。</w:t>
      </w:r>
    </w:p>
    <w:p>
      <w:pPr>
        <w:ind w:firstLine="643" w:firstLineChars="200"/>
        <w:rPr>
          <w:rFonts w:ascii="仿宋_GB2312" w:eastAsia="仿宋_GB2312"/>
          <w:sz w:val="32"/>
          <w:szCs w:val="32"/>
        </w:rPr>
      </w:pPr>
      <w:r>
        <w:rPr>
          <w:rFonts w:hint="eastAsia" w:ascii="仿宋_GB2312" w:eastAsia="仿宋_GB2312"/>
          <w:b/>
          <w:bCs/>
          <w:sz w:val="32"/>
          <w:szCs w:val="32"/>
        </w:rPr>
        <w:t>（八）交通运输支出（类）公路水路运输（款）行政运行（项）：</w:t>
      </w:r>
      <w:r>
        <w:rPr>
          <w:rFonts w:hint="eastAsia" w:ascii="仿宋_GB2312" w:eastAsia="仿宋_GB2312"/>
          <w:sz w:val="32"/>
          <w:szCs w:val="32"/>
        </w:rPr>
        <w:t>反映行政单位（包括实行公务员管理的事业单位）的基本支出。</w:t>
      </w:r>
    </w:p>
    <w:p>
      <w:pPr>
        <w:ind w:firstLine="643" w:firstLineChars="200"/>
        <w:rPr>
          <w:rFonts w:ascii="仿宋_GB2312" w:eastAsia="仿宋_GB2312"/>
          <w:sz w:val="32"/>
          <w:szCs w:val="32"/>
        </w:rPr>
      </w:pPr>
      <w:r>
        <w:rPr>
          <w:rFonts w:hint="eastAsia" w:ascii="仿宋_GB2312" w:eastAsia="仿宋_GB2312"/>
          <w:b/>
          <w:bCs/>
          <w:sz w:val="32"/>
          <w:szCs w:val="32"/>
        </w:rPr>
        <w:t>（九）交通运输支出（类）公路水路运输（款）其他公路水路运输支出（项）：</w:t>
      </w:r>
      <w:r>
        <w:rPr>
          <w:rFonts w:hint="eastAsia" w:ascii="仿宋_GB2312" w:eastAsia="仿宋_GB2312"/>
          <w:sz w:val="32"/>
          <w:szCs w:val="32"/>
        </w:rPr>
        <w:t>反映除上述项目以外其他用于公路水路运输方面的支出。</w:t>
      </w:r>
    </w:p>
    <w:p>
      <w:pPr>
        <w:ind w:firstLine="643" w:firstLineChars="200"/>
        <w:rPr>
          <w:rFonts w:ascii="仿宋_GB2312" w:eastAsia="仿宋_GB2312"/>
          <w:sz w:val="32"/>
          <w:szCs w:val="32"/>
        </w:rPr>
      </w:pPr>
      <w:r>
        <w:rPr>
          <w:rFonts w:hint="eastAsia" w:ascii="仿宋_GB2312" w:eastAsia="仿宋_GB2312"/>
          <w:b/>
          <w:bCs/>
          <w:sz w:val="32"/>
          <w:szCs w:val="32"/>
        </w:rPr>
        <w:t>（十）交通运输支出（类）车辆购置税支出（款）车辆购置税用于农村公路建设支出（项）：</w:t>
      </w:r>
      <w:r>
        <w:rPr>
          <w:rFonts w:hint="eastAsia" w:ascii="仿宋_GB2312" w:eastAsia="仿宋_GB2312"/>
          <w:sz w:val="32"/>
          <w:szCs w:val="32"/>
        </w:rPr>
        <w:t>反映车辆购置税收入安排用于农村公路建设的支出。</w:t>
      </w:r>
    </w:p>
    <w:p>
      <w:pPr>
        <w:ind w:firstLine="643" w:firstLineChars="200"/>
        <w:rPr>
          <w:rFonts w:ascii="仿宋_GB2312" w:eastAsia="仿宋_GB2312"/>
          <w:sz w:val="32"/>
          <w:szCs w:val="32"/>
        </w:rPr>
      </w:pPr>
      <w:r>
        <w:rPr>
          <w:rFonts w:hint="eastAsia" w:ascii="仿宋_GB2312" w:eastAsia="仿宋_GB2312"/>
          <w:b/>
          <w:bCs/>
          <w:sz w:val="32"/>
          <w:szCs w:val="32"/>
        </w:rPr>
        <w:t>（十一）住房保障支出（类）住房改革支出（款）住房公积金（项）：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adjustRightInd w:val="0"/>
        <w:snapToGrid w:val="0"/>
        <w:spacing w:line="560" w:lineRule="exact"/>
        <w:ind w:firstLine="640" w:firstLineChars="200"/>
      </w:pPr>
      <w:r>
        <w:rPr>
          <w:rFonts w:hint="eastAsia" w:ascii="仿宋_GB2312" w:eastAsia="仿宋_GB2312"/>
          <w:sz w:val="32"/>
          <w:szCs w:val="32"/>
        </w:rPr>
        <w:t>无。</w:t>
      </w:r>
      <w:bookmarkStart w:id="7" w:name="_GoBack"/>
      <w:bookmarkEnd w:id="7"/>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Y2M5OWFjNGU4MTQxNDE4NDE1NTkyM2MyZjcxNGUifQ=="/>
  </w:docVars>
  <w:rsids>
    <w:rsidRoot w:val="00172A27"/>
    <w:rsid w:val="0000475B"/>
    <w:rsid w:val="0001178F"/>
    <w:rsid w:val="00020FDD"/>
    <w:rsid w:val="000232E4"/>
    <w:rsid w:val="00034A5C"/>
    <w:rsid w:val="00050279"/>
    <w:rsid w:val="000531EE"/>
    <w:rsid w:val="00055542"/>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C7C15"/>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B50E2"/>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459FF"/>
    <w:rsid w:val="007611BA"/>
    <w:rsid w:val="0076222D"/>
    <w:rsid w:val="007655FE"/>
    <w:rsid w:val="007665F3"/>
    <w:rsid w:val="0077254F"/>
    <w:rsid w:val="007773DC"/>
    <w:rsid w:val="00790876"/>
    <w:rsid w:val="00791F22"/>
    <w:rsid w:val="007A0E06"/>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2667B"/>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8F78D3"/>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B4B"/>
    <w:rsid w:val="00E65D63"/>
    <w:rsid w:val="00E66709"/>
    <w:rsid w:val="00E73129"/>
    <w:rsid w:val="00E77312"/>
    <w:rsid w:val="00E80B18"/>
    <w:rsid w:val="00E812D1"/>
    <w:rsid w:val="00E8331F"/>
    <w:rsid w:val="00E9134E"/>
    <w:rsid w:val="00E92FA2"/>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91E92"/>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C002A0"/>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B53C42"/>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61AA1"/>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CB26F4B"/>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467CB5"/>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722C78"/>
    <w:rsid w:val="777F79AC"/>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字符"/>
    <w:link w:val="2"/>
    <w:semiHidden/>
    <w:qFormat/>
    <w:uiPriority w:val="99"/>
    <w:rPr>
      <w:rFonts w:ascii="Times New Roman" w:hAnsi="Times New Roman"/>
      <w:kern w:val="2"/>
      <w:sz w:val="18"/>
      <w:szCs w:val="18"/>
    </w:rPr>
  </w:style>
  <w:style w:type="character" w:customStyle="1" w:styleId="9">
    <w:name w:val="页脚 字符"/>
    <w:link w:val="3"/>
    <w:qFormat/>
    <w:uiPriority w:val="99"/>
    <w:rPr>
      <w:rFonts w:ascii="Times New Roman" w:hAnsi="Times New Roman"/>
      <w:kern w:val="2"/>
      <w:sz w:val="18"/>
      <w:szCs w:val="18"/>
    </w:rPr>
  </w:style>
  <w:style w:type="character" w:customStyle="1" w:styleId="10">
    <w:name w:val="页眉 字符"/>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字符"/>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31"/>
    <w:basedOn w:val="6"/>
    <w:qFormat/>
    <w:uiPriority w:val="0"/>
    <w:rPr>
      <w:rFonts w:hint="eastAsia" w:ascii="宋体" w:hAnsi="宋体" w:eastAsia="宋体" w:cs="宋体"/>
      <w:color w:val="000000"/>
      <w:sz w:val="22"/>
      <w:szCs w:val="22"/>
      <w:u w:val="none"/>
    </w:rPr>
  </w:style>
  <w:style w:type="character" w:customStyle="1" w:styleId="16">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8101</Words>
  <Characters>9872</Characters>
  <Lines>83</Lines>
  <Paragraphs>23</Paragraphs>
  <TotalTime>18</TotalTime>
  <ScaleCrop>false</ScaleCrop>
  <LinksUpToDate>false</LinksUpToDate>
  <CharactersWithSpaces>9989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2023-06-05T08:36:00Z</dcterms:created>
  <dc:creator>王炜(部门内部人)</dc:creator>
  <cp:lastModifiedBy>梓嶽子</cp:lastModifiedBy>
  <cp:lastPrinted>2021-01-31T19:43:00Z</cp:lastPrinted>
  <dcterms:modified xsi:type="dcterms:W3CDTF">2023-06-06T07:05:49Z</dcterms:modified>
  <dc:title>×××部门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5943E1C9B0A04DA8BF8BF4861CC79832_13</vt:lpwstr>
  </property>
</Properties>
</file>