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ascii="Cambria" w:hAnsi="Cambria"/>
                <w:b/>
                <w:sz w:val="80"/>
                <w:szCs w:val="80"/>
              </w:rPr>
            </w:pPr>
            <w:r>
              <w:rPr>
                <w:rFonts w:hint="eastAsia" w:ascii="Cambria" w:hAnsi="Cambria"/>
                <w:b/>
                <w:sz w:val="80"/>
                <w:szCs w:val="80"/>
                <w:lang w:val="en-US" w:eastAsia="zh-CN"/>
              </w:rPr>
              <w:t>湟源县和平乡人民政府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（一）贯彻执行党的路线、方针、政策及上级党委决议；贯彻执行本级人民代表大会决议和上级国家行政机关的决定和命令。</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（二）负责农村基层组织创建活动，加强基层组织建设，做好党员的管理、教育、培训工作；负责做好统战、宣传、纪检、人大、武装等工作。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（三）科学制定并组织实施本乡经济社会发展规划。负责组织农业、畜牧业、林业、浪河滩经济等工作项目申报及实施，协助县及其以上政府做好安全生产、耕地保护和环境保护工作。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（四）抓好精神文明建设，丰富群众文化生活，提倡移风易俗，反对封建迷信，破除陈规陋习，树立社会主义新风尚。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（五）扩大保障的覆盖面，认真做好与乡经济水平相适应的社会保障工作；提高教育水平，提高义务教育的质量和普及程度；全面落实农村合作医疗保险制度，使人人享有基本医疗保健。</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六）贯彻依法行政，推进依法治乡，加强社会管理。切实加强政治文明、精神文明和基层民主法治建设，推进依法行政；做好文化体育、卫生、人口和计划生育、民政、社会治安综合治理、信访等工作；受县级以上有关行政部门委托，负责辖区内行政执法工作，维护社会秩序，保护各种经济组织的合法权益。</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2023年度预算编制范围包括预算单位1个，无二级预算单位，年末编制人数38个，其中：行政编制人数19名,核定事业编制人数19人,单位年末实有人数44人，其中在职38人，其他人员6人。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default" w:ascii="仿宋_GB2312" w:eastAsia="仿宋_GB2312" w:cs="仿宋"/>
          <w:sz w:val="32"/>
          <w:szCs w:val="32"/>
          <w:lang w:val="en-US" w:eastAsia="zh-CN"/>
        </w:rPr>
      </w:pPr>
      <w:r>
        <w:rPr>
          <w:rFonts w:hint="eastAsia" w:ascii="仿宋_GB2312" w:eastAsia="仿宋_GB2312" w:cs="仿宋"/>
          <w:sz w:val="32"/>
          <w:szCs w:val="32"/>
          <w:lang w:val="en-US" w:eastAsia="zh-CN"/>
        </w:rPr>
        <w:t>纳入湟源县和平乡人民政府2023</w:t>
      </w:r>
      <w:r>
        <w:rPr>
          <w:rFonts w:hint="eastAsia" w:ascii="仿宋_GB2312" w:eastAsia="仿宋_GB2312" w:cs="仿宋"/>
          <w:sz w:val="32"/>
          <w:szCs w:val="32"/>
          <w:lang w:eastAsia="zh-CN"/>
        </w:rPr>
        <w:t>年部门预算编制范围的二级预算</w:t>
      </w:r>
      <w:r>
        <w:rPr>
          <w:rFonts w:hint="eastAsia" w:ascii="仿宋_GB2312" w:eastAsia="仿宋_GB2312" w:cs="仿宋"/>
          <w:sz w:val="32"/>
          <w:szCs w:val="32"/>
          <w:lang w:val="en-US" w:eastAsia="zh-CN"/>
        </w:rPr>
        <w:t>单位包括：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1429.01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757.59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139.60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80.41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388.03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63.37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1429.01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1429.01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1429.01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1429.01</w:t>
            </w:r>
          </w:p>
        </w:tc>
      </w:tr>
    </w:tbl>
    <w:p>
      <w:pPr>
        <w:rPr>
          <w:rFonts w:hint="eastAsia" w:ascii="仿宋_GB2312" w:eastAsia="仿宋_GB2312"/>
          <w:sz w:val="32"/>
          <w:szCs w:val="32"/>
          <w:lang w:val="en-US" w:eastAsia="zh-CN"/>
        </w:rPr>
      </w:pPr>
    </w:p>
    <w:tbl>
      <w:tblPr>
        <w:tblStyle w:val="8"/>
        <w:tblpPr w:leftFromText="180" w:rightFromText="180" w:vertAnchor="text" w:horzAnchor="page" w:tblpXSpec="center" w:tblpY="618"/>
        <w:tblOverlap w:val="never"/>
        <w:tblW w:w="11231" w:type="dxa"/>
        <w:jc w:val="center"/>
        <w:tblLayout w:type="fixed"/>
        <w:tblCellMar>
          <w:top w:w="0" w:type="dxa"/>
          <w:left w:w="108" w:type="dxa"/>
          <w:bottom w:w="0" w:type="dxa"/>
          <w:right w:w="108" w:type="dxa"/>
        </w:tblCellMar>
      </w:tblPr>
      <w:tblGrid>
        <w:gridCol w:w="1126"/>
        <w:gridCol w:w="1035"/>
        <w:gridCol w:w="889"/>
        <w:gridCol w:w="1009"/>
        <w:gridCol w:w="914"/>
        <w:gridCol w:w="914"/>
        <w:gridCol w:w="914"/>
        <w:gridCol w:w="914"/>
        <w:gridCol w:w="914"/>
        <w:gridCol w:w="914"/>
        <w:gridCol w:w="914"/>
        <w:gridCol w:w="774"/>
      </w:tblGrid>
      <w:tr>
        <w:tblPrEx>
          <w:tblCellMar>
            <w:top w:w="0" w:type="dxa"/>
            <w:left w:w="108" w:type="dxa"/>
            <w:bottom w:w="0" w:type="dxa"/>
            <w:right w:w="108" w:type="dxa"/>
          </w:tblCellMar>
        </w:tblPrEx>
        <w:trPr>
          <w:trHeight w:val="392" w:hRule="atLeast"/>
          <w:jc w:val="center"/>
        </w:trPr>
        <w:tc>
          <w:tcPr>
            <w:tcW w:w="1123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3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31"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1429.01</w:t>
            </w:r>
          </w:p>
        </w:tc>
        <w:tc>
          <w:tcPr>
            <w:tcW w:w="8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1429.01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湟源县和平乡人民政府</w:t>
            </w:r>
          </w:p>
        </w:tc>
        <w:tc>
          <w:tcPr>
            <w:tcW w:w="10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1429.01</w:t>
            </w:r>
          </w:p>
        </w:tc>
        <w:tc>
          <w:tcPr>
            <w:tcW w:w="8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1429.01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湟源县和平乡人民政府（本级）</w:t>
            </w:r>
          </w:p>
        </w:tc>
        <w:tc>
          <w:tcPr>
            <w:tcW w:w="10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1429.01</w:t>
            </w:r>
          </w:p>
        </w:tc>
        <w:tc>
          <w:tcPr>
            <w:tcW w:w="8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1429.01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894" w:type="dxa"/>
        <w:jc w:val="center"/>
        <w:tblLayout w:type="fixed"/>
        <w:tblCellMar>
          <w:top w:w="0" w:type="dxa"/>
          <w:left w:w="108" w:type="dxa"/>
          <w:bottom w:w="0" w:type="dxa"/>
          <w:right w:w="108" w:type="dxa"/>
        </w:tblCellMar>
      </w:tblPr>
      <w:tblGrid>
        <w:gridCol w:w="1005"/>
        <w:gridCol w:w="3772"/>
        <w:gridCol w:w="1020"/>
        <w:gridCol w:w="1140"/>
        <w:gridCol w:w="980"/>
        <w:gridCol w:w="990"/>
        <w:gridCol w:w="930"/>
        <w:gridCol w:w="1057"/>
      </w:tblGrid>
      <w:tr>
        <w:tblPrEx>
          <w:tblCellMar>
            <w:top w:w="0" w:type="dxa"/>
            <w:left w:w="108" w:type="dxa"/>
            <w:bottom w:w="0" w:type="dxa"/>
            <w:right w:w="108" w:type="dxa"/>
          </w:tblCellMar>
        </w:tblPrEx>
        <w:trPr>
          <w:trHeight w:val="187" w:hRule="atLeast"/>
          <w:jc w:val="center"/>
        </w:trPr>
        <w:tc>
          <w:tcPr>
            <w:tcW w:w="10894"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0894"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0894"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7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1429.01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915.91</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513.10</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757.59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632.52</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125.07</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748.82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632.52</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116.30</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748.82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632.52</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116.30</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3.80</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3.80</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139.60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139.60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137.89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137.89</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66.59</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66.59</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33.30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33.30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38.00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38.00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80.41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80.41</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80.41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80.41</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36.75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36.75</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31.73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31.73</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388.03</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388.03</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388.03</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63.37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63.37</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63.37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63.37</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0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63.37</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63.37</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084"/>
        <w:gridCol w:w="2316"/>
        <w:gridCol w:w="1118"/>
        <w:gridCol w:w="111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8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1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1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1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1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1429.01</w:t>
            </w: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1429.01</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1429.01</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1429.01</w:t>
            </w: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757.59</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757.59</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139.60</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139.60</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80.41</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80.41</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388.03</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388.03</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63.37</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63.37</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16" w:type="dxa"/>
            <w:shd w:val="clear" w:color="auto" w:fill="FFFFFF"/>
            <w:noWrap/>
            <w:vAlign w:val="center"/>
          </w:tcPr>
          <w:p>
            <w:pPr>
              <w:widowControl/>
              <w:jc w:val="left"/>
              <w:rPr>
                <w:rFonts w:ascii="宋体" w:hAnsi="宋体" w:cs="宋体"/>
                <w:kern w:val="0"/>
                <w:sz w:val="20"/>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3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1429.01</w:t>
            </w:r>
          </w:p>
        </w:tc>
        <w:tc>
          <w:tcPr>
            <w:tcW w:w="23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1429.01</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1429.01</w:t>
            </w:r>
          </w:p>
        </w:tc>
        <w:tc>
          <w:tcPr>
            <w:tcW w:w="1118"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86"/>
        <w:gridCol w:w="1391"/>
        <w:gridCol w:w="1391"/>
        <w:gridCol w:w="139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3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7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3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1429.01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915.91</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513.10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757.59</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632.52</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125.07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748.82</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632.52</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116.30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748.82</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632.52</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116.30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139.60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139.60</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137.89</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137.89</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66.59</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66.59</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33.30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33.30</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38.00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38.00</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80.41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80.41</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80.41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80.41</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36.75</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36.75</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11.93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11.93</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31.73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31.73</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388.03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388.03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388.03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388.03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388.03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388.03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63.37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63.37</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63.37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63.37</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63.37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63.37</w:t>
            </w:r>
          </w:p>
        </w:tc>
        <w:tc>
          <w:tcPr>
            <w:tcW w:w="13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jc w:val="center"/>
        <w:tblLayout w:type="fixed"/>
        <w:tblCellMar>
          <w:top w:w="0" w:type="dxa"/>
          <w:left w:w="108" w:type="dxa"/>
          <w:bottom w:w="0" w:type="dxa"/>
          <w:right w:w="108" w:type="dxa"/>
        </w:tblCellMar>
      </w:tblPr>
      <w:tblGrid>
        <w:gridCol w:w="650"/>
        <w:gridCol w:w="650"/>
        <w:gridCol w:w="2863"/>
        <w:gridCol w:w="2500"/>
        <w:gridCol w:w="2390"/>
        <w:gridCol w:w="219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5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915.91</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864.05</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51.87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803.17</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803.17</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158.20</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158.20</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203.33</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203.33</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103.34</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103.34</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108.99</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108.99</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66.59</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66.59</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33.30</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33.30</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25.81</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25.81</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31.73</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31.73</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63.37</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63.37</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6.80</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6.80</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51.87</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51.87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5.88</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3.36</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维修（护）费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7.93</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16.28</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5.49</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60.88</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60.88</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37.16</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37.16</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22.87</w:t>
            </w: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22.87</w:t>
            </w: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5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65"/>
        <w:gridCol w:w="965"/>
        <w:gridCol w:w="965"/>
        <w:gridCol w:w="965"/>
        <w:gridCol w:w="965"/>
        <w:gridCol w:w="965"/>
        <w:gridCol w:w="965"/>
        <w:gridCol w:w="965"/>
        <w:gridCol w:w="965"/>
        <w:gridCol w:w="96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9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9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9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1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81"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9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5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9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56"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79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13.26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856"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湟源县和平乡人民政府2023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湟源县和平乡人民政府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一般公共预算拨款收入1429.01万元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一般公共服务支出757.59万元，社会保障和就业支出139.60万元，卫生健康支出80.41万元，农林水支出388.03万元，住房保障支出63.37万元</w:t>
      </w:r>
      <w:r>
        <w:rPr>
          <w:rFonts w:hint="eastAsia" w:ascii="仿宋_GB2312" w:eastAsia="仿宋_GB2312"/>
          <w:sz w:val="32"/>
          <w:szCs w:val="32"/>
        </w:rPr>
        <w:t>。</w:t>
      </w: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1429.01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湟源县和平乡人民政府2023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1429.01</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一般公共预算拨款收入1429.01万元，占100.00%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49.7pt;width:325.2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湟源县和平乡人民政府2023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1429.01</w:t>
      </w:r>
      <w:r>
        <w:rPr>
          <w:rFonts w:hint="eastAsia" w:ascii="仿宋_GB2312" w:eastAsia="仿宋_GB2312"/>
          <w:sz w:val="32"/>
          <w:szCs w:val="32"/>
        </w:rPr>
        <w:t>万元，其中：</w:t>
      </w:r>
      <w:r>
        <w:rPr>
          <w:rFonts w:hint="eastAsia" w:ascii="仿宋_GB2312" w:eastAsia="仿宋_GB2312"/>
          <w:sz w:val="32"/>
          <w:szCs w:val="32"/>
          <w:lang w:val="en-US" w:eastAsia="zh-CN"/>
        </w:rPr>
        <w:t>基本支出915.91万元，占64.09%；项目支出513.10万元，占35.91%</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380230" cy="201549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380230" cy="201549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湟源县和平乡人民政府2023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1429.01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增加168.27</w:t>
      </w:r>
      <w:r>
        <w:rPr>
          <w:rFonts w:hint="eastAsia" w:ascii="仿宋_GB2312" w:eastAsia="仿宋_GB2312"/>
          <w:sz w:val="32"/>
          <w:szCs w:val="32"/>
        </w:rPr>
        <w:t>万元，</w:t>
      </w:r>
      <w:r>
        <w:rPr>
          <w:rFonts w:hint="eastAsia" w:ascii="仿宋_GB2312" w:eastAsia="仿宋_GB2312"/>
          <w:sz w:val="32"/>
          <w:szCs w:val="32"/>
          <w:lang w:val="en-US" w:eastAsia="zh-CN"/>
        </w:rPr>
        <w:t>主要是人员工资、村级运转经费、能力提升补助经费、疫情防控资金、农村服务群众专项经费、车辆购置经费、房屋维修经费支出增加。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一般公共预算拨款收入1429.01万元，上年结转0.00万元；政府性基金预算拨款收入0.00万元，上年结转0.00万元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一般公共服务支出757.59万元， 社会保障和就业支出139.60万元， 卫生健康支出80.41万元， 农林水支出388.03万元， 住房保障支出63.37万元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4.05pt;width:334.8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湟源县和平乡人民政府2023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1429.01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增加168.27</w:t>
      </w:r>
      <w:r>
        <w:rPr>
          <w:rFonts w:hint="eastAsia" w:ascii="仿宋_GB2312" w:eastAsia="仿宋_GB2312"/>
          <w:sz w:val="32"/>
          <w:szCs w:val="32"/>
        </w:rPr>
        <w:t>万元，</w:t>
      </w:r>
      <w:r>
        <w:rPr>
          <w:rFonts w:hint="eastAsia" w:ascii="仿宋_GB2312" w:eastAsia="仿宋_GB2312"/>
          <w:sz w:val="32"/>
          <w:szCs w:val="32"/>
          <w:lang w:val="en-US" w:eastAsia="zh-CN"/>
        </w:rPr>
        <w:t>主要是人员工资、村级运转经费、能力提升补助经费、疫情防控资金、农村服务群众专项经费、车辆购置经费、房屋维修经费支出增加。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25pt;width:365.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一般公共服务支出757.59万元，占53.02%；社会保障和就业支出139.60万元，占9.77%；卫生健康支出80.41万元，占5.63%；农林水支出388.03万元，占27.15%；住房保障支出63.37万元，占4.43%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9.6pt;width:368.7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与上年相同，无变化。</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748.82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增加117.02</w:t>
      </w:r>
      <w:r>
        <w:rPr>
          <w:rFonts w:hint="eastAsia" w:ascii="仿宋_GB2312" w:eastAsia="仿宋_GB2312"/>
          <w:sz w:val="32"/>
          <w:szCs w:val="32"/>
        </w:rPr>
        <w:t>万元，</w:t>
      </w:r>
      <w:r>
        <w:rPr>
          <w:rFonts w:hint="eastAsia" w:ascii="仿宋_GB2312" w:eastAsia="仿宋_GB2312"/>
          <w:sz w:val="32"/>
          <w:szCs w:val="32"/>
          <w:lang w:val="en-US" w:eastAsia="zh-CN"/>
        </w:rPr>
        <w:t>增长18.52</w:t>
      </w:r>
      <w:r>
        <w:rPr>
          <w:rFonts w:hint="eastAsia" w:ascii="仿宋_GB2312" w:eastAsia="仿宋_GB2312"/>
          <w:sz w:val="32"/>
          <w:szCs w:val="32"/>
        </w:rPr>
        <w:t>%。主要是</w:t>
      </w:r>
      <w:r>
        <w:rPr>
          <w:rFonts w:hint="eastAsia" w:ascii="仿宋_GB2312" w:eastAsia="仿宋_GB2312"/>
          <w:sz w:val="32"/>
          <w:szCs w:val="32"/>
          <w:lang w:eastAsia="zh-CN"/>
        </w:rPr>
        <w:t>人员工资、</w:t>
      </w:r>
      <w:r>
        <w:rPr>
          <w:rFonts w:hint="eastAsia" w:ascii="仿宋_GB2312" w:eastAsia="仿宋_GB2312"/>
          <w:sz w:val="32"/>
          <w:szCs w:val="32"/>
          <w:highlight w:val="none"/>
          <w:lang w:eastAsia="zh-CN"/>
        </w:rPr>
        <w:t>村级运转经费、能力提升补助经费、疫情防控资金、农村服务群众专项经费、</w:t>
      </w:r>
      <w:r>
        <w:rPr>
          <w:rFonts w:hint="eastAsia" w:ascii="仿宋_GB2312" w:eastAsia="仿宋_GB2312"/>
          <w:sz w:val="32"/>
          <w:szCs w:val="32"/>
          <w:highlight w:val="none"/>
          <w:lang w:val="en-US" w:eastAsia="zh-CN"/>
        </w:rPr>
        <w:t>车辆购置经费、</w:t>
      </w:r>
      <w:r>
        <w:rPr>
          <w:rFonts w:hint="eastAsia" w:ascii="仿宋" w:hAnsi="仿宋" w:eastAsia="仿宋" w:cs="宋体"/>
          <w:kern w:val="0"/>
          <w:sz w:val="32"/>
          <w:szCs w:val="32"/>
          <w:highlight w:val="none"/>
          <w:lang w:eastAsia="zh-CN"/>
        </w:rPr>
        <w:t>房屋维修经费</w:t>
      </w:r>
      <w:r>
        <w:rPr>
          <w:rFonts w:hint="eastAsia" w:ascii="仿宋" w:hAnsi="仿宋" w:eastAsia="仿宋" w:cs="宋体"/>
          <w:kern w:val="0"/>
          <w:sz w:val="32"/>
          <w:szCs w:val="32"/>
          <w:highlight w:val="none"/>
        </w:rPr>
        <w:t>支出增</w:t>
      </w:r>
      <w:r>
        <w:rPr>
          <w:rFonts w:hint="eastAsia" w:ascii="仿宋" w:hAnsi="仿宋" w:eastAsia="仿宋" w:cs="宋体"/>
          <w:kern w:val="0"/>
          <w:sz w:val="32"/>
          <w:szCs w:val="32"/>
          <w:highlight w:val="none"/>
          <w:lang w:eastAsia="zh-CN"/>
        </w:rPr>
        <w:t>加</w:t>
      </w:r>
      <w:r>
        <w:rPr>
          <w:rFonts w:hint="eastAsia" w:ascii="仿宋_GB2312" w:eastAsia="仿宋_GB2312"/>
          <w:i w:val="0"/>
          <w:iCs/>
          <w:sz w:val="32"/>
          <w:szCs w:val="32"/>
          <w:u w:val="none"/>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党委办公厅（室）及相关机构事务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增加1.52</w:t>
      </w:r>
      <w:r>
        <w:rPr>
          <w:rFonts w:hint="eastAsia" w:ascii="仿宋_GB2312" w:eastAsia="仿宋_GB2312"/>
          <w:sz w:val="32"/>
          <w:szCs w:val="32"/>
        </w:rPr>
        <w:t>万元，</w:t>
      </w:r>
      <w:r>
        <w:rPr>
          <w:rFonts w:hint="eastAsia" w:ascii="仿宋_GB2312" w:eastAsia="仿宋_GB2312"/>
          <w:sz w:val="32"/>
          <w:szCs w:val="32"/>
          <w:lang w:val="en-US" w:eastAsia="zh-CN"/>
        </w:rPr>
        <w:t>增长66.67</w:t>
      </w:r>
      <w:r>
        <w:rPr>
          <w:rFonts w:hint="eastAsia" w:ascii="仿宋_GB2312" w:eastAsia="仿宋_GB2312"/>
          <w:sz w:val="32"/>
          <w:szCs w:val="32"/>
        </w:rPr>
        <w:t>%。主要是</w:t>
      </w:r>
      <w:r>
        <w:rPr>
          <w:rFonts w:hint="eastAsia" w:ascii="仿宋_GB2312" w:eastAsia="仿宋_GB2312"/>
          <w:sz w:val="32"/>
          <w:szCs w:val="32"/>
          <w:lang w:val="en-US" w:eastAsia="zh-CN"/>
        </w:rPr>
        <w:t>村级党建工作经费增加。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w:t>
      </w:r>
      <w:r>
        <w:rPr>
          <w:rFonts w:hint="eastAsia" w:ascii="仿宋_GB2312" w:eastAsia="仿宋_GB2312"/>
          <w:sz w:val="32"/>
          <w:szCs w:val="32"/>
          <w:lang w:val="en-US" w:eastAsia="zh-CN"/>
        </w:rPr>
        <w:t>新招录工作人员和武装配备物资有所增加。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66.59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增加15.45</w:t>
      </w:r>
      <w:r>
        <w:rPr>
          <w:rFonts w:hint="eastAsia" w:ascii="仿宋_GB2312" w:eastAsia="仿宋_GB2312"/>
          <w:sz w:val="32"/>
          <w:szCs w:val="32"/>
        </w:rPr>
        <w:t>万元，</w:t>
      </w:r>
      <w:r>
        <w:rPr>
          <w:rFonts w:hint="eastAsia" w:ascii="仿宋_GB2312" w:eastAsia="仿宋_GB2312"/>
          <w:sz w:val="32"/>
          <w:szCs w:val="32"/>
          <w:lang w:val="en-US" w:eastAsia="zh-CN"/>
        </w:rPr>
        <w:t>增长30.21</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本年度养老基数上调、新增事业单位人员2名。</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增加7.73</w:t>
      </w:r>
      <w:r>
        <w:rPr>
          <w:rFonts w:hint="eastAsia" w:ascii="仿宋_GB2312" w:eastAsia="仿宋_GB2312"/>
          <w:sz w:val="32"/>
          <w:szCs w:val="32"/>
        </w:rPr>
        <w:t>万元，</w:t>
      </w:r>
      <w:r>
        <w:rPr>
          <w:rFonts w:hint="eastAsia" w:ascii="仿宋_GB2312" w:eastAsia="仿宋_GB2312"/>
          <w:sz w:val="32"/>
          <w:szCs w:val="32"/>
          <w:lang w:val="en-US" w:eastAsia="zh-CN"/>
        </w:rPr>
        <w:t>增长30.23</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本年度养老基数上调、事业编制人员增加。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增加1.21</w:t>
      </w:r>
      <w:r>
        <w:rPr>
          <w:rFonts w:hint="eastAsia" w:ascii="仿宋_GB2312" w:eastAsia="仿宋_GB2312"/>
          <w:sz w:val="32"/>
          <w:szCs w:val="32"/>
        </w:rPr>
        <w:t>万元，</w:t>
      </w:r>
      <w:r>
        <w:rPr>
          <w:rFonts w:hint="eastAsia" w:ascii="仿宋_GB2312" w:eastAsia="仿宋_GB2312"/>
          <w:sz w:val="32"/>
          <w:szCs w:val="32"/>
          <w:lang w:val="en-US" w:eastAsia="zh-CN"/>
        </w:rPr>
        <w:t>增长3.29</w:t>
      </w:r>
      <w:r>
        <w:rPr>
          <w:rFonts w:hint="eastAsia" w:ascii="仿宋_GB2312" w:eastAsia="仿宋_GB2312"/>
          <w:sz w:val="32"/>
          <w:szCs w:val="32"/>
        </w:rPr>
        <w:t>%。主要是</w:t>
      </w:r>
      <w:r>
        <w:rPr>
          <w:rFonts w:hint="eastAsia" w:ascii="仿宋_GB2312" w:eastAsia="仿宋_GB2312"/>
          <w:sz w:val="32"/>
          <w:szCs w:val="32"/>
          <w:lang w:val="en-US" w:eastAsia="zh-CN"/>
        </w:rPr>
        <w:t>养老基数上调、事业编制人员增加。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增加0.05</w:t>
      </w:r>
      <w:r>
        <w:rPr>
          <w:rFonts w:hint="eastAsia" w:ascii="仿宋_GB2312" w:eastAsia="仿宋_GB2312"/>
          <w:sz w:val="32"/>
          <w:szCs w:val="32"/>
        </w:rPr>
        <w:t>万元，</w:t>
      </w:r>
      <w:r>
        <w:rPr>
          <w:rFonts w:hint="eastAsia" w:ascii="仿宋_GB2312" w:eastAsia="仿宋_GB2312"/>
          <w:sz w:val="32"/>
          <w:szCs w:val="32"/>
          <w:lang w:val="en-US" w:eastAsia="zh-CN"/>
        </w:rPr>
        <w:t>增长3.01</w:t>
      </w:r>
      <w:r>
        <w:rPr>
          <w:rFonts w:hint="eastAsia" w:ascii="仿宋_GB2312" w:eastAsia="仿宋_GB2312"/>
          <w:sz w:val="32"/>
          <w:szCs w:val="32"/>
        </w:rPr>
        <w:t>%。主要是</w:t>
      </w:r>
      <w:r>
        <w:rPr>
          <w:rFonts w:hint="eastAsia" w:ascii="仿宋_GB2312" w:eastAsia="仿宋_GB2312"/>
          <w:sz w:val="32"/>
          <w:szCs w:val="32"/>
          <w:lang w:eastAsia="zh-CN"/>
        </w:rPr>
        <w:t>人员增加，基数调整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36.75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增加8.99</w:t>
      </w:r>
      <w:r>
        <w:rPr>
          <w:rFonts w:hint="eastAsia" w:ascii="仿宋_GB2312" w:eastAsia="仿宋_GB2312"/>
          <w:sz w:val="32"/>
          <w:szCs w:val="32"/>
        </w:rPr>
        <w:t>万元，</w:t>
      </w:r>
      <w:r>
        <w:rPr>
          <w:rFonts w:hint="eastAsia" w:ascii="仿宋_GB2312" w:eastAsia="仿宋_GB2312"/>
          <w:sz w:val="32"/>
          <w:szCs w:val="32"/>
          <w:lang w:val="en-US" w:eastAsia="zh-CN"/>
        </w:rPr>
        <w:t>增长32.38</w:t>
      </w:r>
      <w:r>
        <w:rPr>
          <w:rFonts w:hint="eastAsia" w:ascii="仿宋_GB2312" w:eastAsia="仿宋_GB2312"/>
          <w:sz w:val="32"/>
          <w:szCs w:val="32"/>
        </w:rPr>
        <w:t>%。主要是</w:t>
      </w:r>
      <w:r>
        <w:rPr>
          <w:rFonts w:hint="eastAsia" w:ascii="仿宋_GB2312" w:eastAsia="仿宋_GB2312"/>
          <w:sz w:val="32"/>
          <w:szCs w:val="32"/>
          <w:lang w:val="en-US" w:eastAsia="zh-CN"/>
        </w:rPr>
        <w:t>本年度新增事业单位人员2人。</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增加1.03</w:t>
      </w:r>
      <w:r>
        <w:rPr>
          <w:rFonts w:hint="eastAsia" w:ascii="仿宋_GB2312" w:eastAsia="仿宋_GB2312"/>
          <w:sz w:val="32"/>
          <w:szCs w:val="32"/>
        </w:rPr>
        <w:t>万元，</w:t>
      </w:r>
      <w:r>
        <w:rPr>
          <w:rFonts w:hint="eastAsia" w:ascii="仿宋_GB2312" w:eastAsia="仿宋_GB2312"/>
          <w:sz w:val="32"/>
          <w:szCs w:val="32"/>
          <w:lang w:val="en-US" w:eastAsia="zh-CN"/>
        </w:rPr>
        <w:t>增长9.45</w:t>
      </w:r>
      <w:r>
        <w:rPr>
          <w:rFonts w:hint="eastAsia" w:ascii="仿宋_GB2312" w:eastAsia="仿宋_GB2312"/>
          <w:sz w:val="32"/>
          <w:szCs w:val="32"/>
        </w:rPr>
        <w:t>%。主要是</w:t>
      </w:r>
      <w:r>
        <w:rPr>
          <w:rFonts w:hint="eastAsia" w:ascii="仿宋_GB2312" w:eastAsia="仿宋_GB2312"/>
          <w:sz w:val="32"/>
          <w:szCs w:val="32"/>
          <w:lang w:val="en-US" w:eastAsia="zh-CN"/>
        </w:rPr>
        <w:t>本年度新增事业单位人员2人。</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减少1.00</w:t>
      </w:r>
      <w:r>
        <w:rPr>
          <w:rFonts w:hint="eastAsia" w:ascii="仿宋_GB2312" w:eastAsia="仿宋_GB2312"/>
          <w:sz w:val="32"/>
          <w:szCs w:val="32"/>
        </w:rPr>
        <w:t>万元，</w:t>
      </w:r>
      <w:r>
        <w:rPr>
          <w:rFonts w:hint="eastAsia" w:ascii="仿宋_GB2312" w:eastAsia="仿宋_GB2312"/>
          <w:sz w:val="32"/>
          <w:szCs w:val="32"/>
          <w:lang w:val="en-US" w:eastAsia="zh-CN"/>
        </w:rPr>
        <w:t>下降3.06</w:t>
      </w:r>
      <w:r>
        <w:rPr>
          <w:rFonts w:hint="eastAsia" w:ascii="仿宋_GB2312" w:eastAsia="仿宋_GB2312"/>
          <w:sz w:val="32"/>
          <w:szCs w:val="32"/>
        </w:rPr>
        <w:t>%。主要是</w:t>
      </w:r>
      <w:r>
        <w:rPr>
          <w:rFonts w:hint="eastAsia" w:ascii="仿宋_GB2312" w:eastAsia="仿宋_GB2312"/>
          <w:sz w:val="32"/>
          <w:szCs w:val="32"/>
          <w:lang w:val="en-US" w:eastAsia="zh-CN"/>
        </w:rPr>
        <w:t>公务员医疗补助减少。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388.03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增加1.03</w:t>
      </w:r>
      <w:r>
        <w:rPr>
          <w:rFonts w:hint="eastAsia" w:ascii="仿宋_GB2312" w:eastAsia="仿宋_GB2312"/>
          <w:sz w:val="32"/>
          <w:szCs w:val="32"/>
        </w:rPr>
        <w:t>万元，</w:t>
      </w:r>
      <w:r>
        <w:rPr>
          <w:rFonts w:hint="eastAsia" w:ascii="仿宋_GB2312" w:eastAsia="仿宋_GB2312"/>
          <w:sz w:val="32"/>
          <w:szCs w:val="32"/>
          <w:lang w:val="en-US" w:eastAsia="zh-CN"/>
        </w:rPr>
        <w:t>增长0.27</w:t>
      </w:r>
      <w:r>
        <w:rPr>
          <w:rFonts w:hint="eastAsia" w:ascii="仿宋_GB2312" w:eastAsia="仿宋_GB2312"/>
          <w:sz w:val="32"/>
          <w:szCs w:val="32"/>
        </w:rPr>
        <w:t>%。主要是</w:t>
      </w:r>
      <w:r>
        <w:rPr>
          <w:rFonts w:hint="eastAsia" w:ascii="仿宋_GB2312" w:eastAsia="仿宋_GB2312"/>
          <w:sz w:val="32"/>
          <w:szCs w:val="32"/>
          <w:lang w:val="en-US" w:eastAsia="zh-CN"/>
        </w:rPr>
        <w:t>村干部工资和村级办公经费有所增加。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63.37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增加14.23</w:t>
      </w:r>
      <w:r>
        <w:rPr>
          <w:rFonts w:hint="eastAsia" w:ascii="仿宋_GB2312" w:eastAsia="仿宋_GB2312"/>
          <w:sz w:val="32"/>
          <w:szCs w:val="32"/>
        </w:rPr>
        <w:t>万元，</w:t>
      </w:r>
      <w:r>
        <w:rPr>
          <w:rFonts w:hint="eastAsia" w:ascii="仿宋_GB2312" w:eastAsia="仿宋_GB2312"/>
          <w:sz w:val="32"/>
          <w:szCs w:val="32"/>
          <w:lang w:val="en-US" w:eastAsia="zh-CN"/>
        </w:rPr>
        <w:t>增长28.96</w:t>
      </w:r>
      <w:r>
        <w:rPr>
          <w:rFonts w:hint="eastAsia" w:ascii="仿宋_GB2312" w:eastAsia="仿宋_GB2312"/>
          <w:sz w:val="32"/>
          <w:szCs w:val="32"/>
        </w:rPr>
        <w:t>%。主要是</w:t>
      </w:r>
      <w:r>
        <w:rPr>
          <w:rFonts w:hint="eastAsia" w:ascii="仿宋_GB2312" w:eastAsia="仿宋_GB2312"/>
          <w:sz w:val="32"/>
          <w:szCs w:val="32"/>
          <w:lang w:val="en-US" w:eastAsia="zh-CN"/>
        </w:rPr>
        <w:t>本年度新增事业单位人员2人。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915.91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864.05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158.20万元、津贴补贴203.33万元、奖金103.34万元、绩效工资108.99万元、机关事业单位基本养老保险缴费66.59万元、职业年金缴费33.30万元、职工基本医疗保险缴费25.81万元、公务员医疗补助缴费31.73万元、其他社会保障缴费1.71万元、住房公积金63.37万元、其他工资福利支出6.80万元、退休费37.16万元、生活补助0.84万元、医疗费补助22.87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51.87</w:t>
      </w:r>
      <w:r>
        <w:rPr>
          <w:rFonts w:hint="eastAsia" w:ascii="仿宋_GB2312" w:eastAsia="仿宋_GB2312"/>
          <w:sz w:val="32"/>
          <w:szCs w:val="32"/>
        </w:rPr>
        <w:t>万元，主要包括：</w:t>
      </w:r>
      <w:r>
        <w:rPr>
          <w:rFonts w:hint="eastAsia" w:ascii="仿宋_GB2312" w:eastAsia="仿宋_GB2312"/>
          <w:sz w:val="32"/>
          <w:szCs w:val="32"/>
          <w:lang w:val="en-US" w:eastAsia="zh-CN"/>
        </w:rPr>
        <w:t>办公费5.88万元、水费0.84万元、电费0.84万元、邮电费3.36万元、取暖费4.20万元、差旅费3.78万元、公务接待费1.26万元、工会经费7.93万元、公务用车运行维护费2.00万元、其他交通费用16.28万元、其他商品和服务支出5.49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13.26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增加10.03</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1.26</w:t>
      </w:r>
      <w:r>
        <w:rPr>
          <w:rFonts w:hint="eastAsia" w:ascii="仿宋_GB2312" w:eastAsia="仿宋_GB2312"/>
          <w:sz w:val="32"/>
          <w:szCs w:val="32"/>
        </w:rPr>
        <w:t>万元，</w:t>
      </w:r>
      <w:r>
        <w:rPr>
          <w:rFonts w:hint="eastAsia" w:ascii="仿宋_GB2312" w:eastAsia="仿宋_GB2312"/>
          <w:sz w:val="32"/>
          <w:szCs w:val="32"/>
          <w:lang w:val="en-US" w:eastAsia="zh-CN"/>
        </w:rPr>
        <w:t>增加0.03</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eastAsia="zh-CN"/>
        </w:rPr>
        <w:t>以前的车辆损坏严重，跟相关部门沟通后，及时维修</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湟源县和平乡人民政府2023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湟源县和平乡人民政府</w:t>
      </w:r>
      <w:r>
        <w:rPr>
          <w:rFonts w:hint="eastAsia" w:ascii="仿宋_GB2312" w:hAnsi="仿宋" w:eastAsia="仿宋_GB2312"/>
          <w:spacing w:val="-6"/>
          <w:kern w:val="2"/>
          <w:sz w:val="32"/>
          <w:szCs w:val="32"/>
          <w:lang w:val="en-US"/>
        </w:rPr>
        <w:t>机关运行经费财政拨款预算51.87万元，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预算减少2.33万元，下降4.30%。主要是</w:t>
      </w:r>
      <w:r>
        <w:rPr>
          <w:rFonts w:hint="eastAsia" w:ascii="仿宋_GB2312" w:hAnsi="仿宋" w:eastAsia="仿宋_GB2312"/>
          <w:spacing w:val="-6"/>
          <w:kern w:val="2"/>
          <w:sz w:val="32"/>
          <w:szCs w:val="32"/>
          <w:lang w:val="en-US" w:eastAsia="zh-CN"/>
        </w:rPr>
        <w:t>人员较少，人员公用经费减少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湟源县和平乡人民政府各单位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12.9</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12.9</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湟源县和平乡人民政府所属各预算单位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湟源县和平乡人民政府</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513.10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8"/>
        <w:tblW w:w="101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4"/>
        <w:gridCol w:w="883"/>
        <w:gridCol w:w="1795"/>
        <w:gridCol w:w="811"/>
        <w:gridCol w:w="778"/>
        <w:gridCol w:w="1667"/>
        <w:gridCol w:w="922"/>
        <w:gridCol w:w="911"/>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0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02"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1"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2"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5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334.39</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保障村干部待遇正常发放，促进村级事务正常开展。</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报酬保障人数</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建立健全村干部报酬正常增长机制</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村干部履职尽责的积极性主动性提高率</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村干部对报酬兑现的满意度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村级党建工作经费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机关党支部建设开展的各个项目的顺利进行；开展各类党建相关的培训，积极支持村党支部开展各项党建工作，打牢基层党建工作基础，切实增强基层党组织的战斗力、凝聚力和创造力，建设学习型、服务型、创新型基层党组织。</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召开支部会议</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支委会、党小组会、党员大会、讲党课活动完成率</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长期提高党员综合素质，推进党风廉政建设，树立良好党员形象</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党员干部对党组织满意度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农村党员对党组织满意度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14.60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保障村民小组长及监委会报酬正常发放，促进村级事务正常开展。</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报酬保障人数</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村干部履职尽责的积极性主动性提高率</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群众对监委会工作成效的满意度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53.64</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保障村级各项事务正常开展。</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村级运转保障数量</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充分发挥村级服务能力</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对农村经济发展起到积极推动作用</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群众对村级经费使用成效的满意度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33.00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保障机关正常运转，按时足额缴纳残疾人保障金，维持职工食堂正常运转。</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食堂正常运转</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保障单位公用经费正常支出</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相关单位满意度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8.20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确保按规定的时间向机关干部提供就餐保障，食堂开放的准点率达 100%，每天超时营业最大限度保障了机关干部的方便用餐，得到了机关干部的好评。</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就餐人数</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应享受补贴</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干部职工正常上班时间用餐方便度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干部对食堂保障的满意度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人大代表工作经费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1.97</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保障我乡人大各项工作顺利开展，充分履行代表职能，依法履职，务实作为，全力做好人大工作。</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参加人大代表</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召开人代会</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履行宪法和法律赋予的履职，为全乡各项工作顺利开展打好基础</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对人大工作的满意度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组织青年、引导青年、服务青年、维护青少年合法权益，开展维护妇女儿童权益、促进妇女儿童发展、关爱活动等各项工作。围绕党政工作，服务全乡大局，促进业务工作；推进组织建设，夯实工作基础。通过工作开展，确保目标如期完成。</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志愿者、“三八”活动</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青少年法制宣传，提高综合素质，法制观念</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青少年发展环境提高</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长期坚持和不断加强青少年思想引领，青年思想素质得到提高,弘扬社会“正能量”</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群众及妇女儿童满意度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宣传征兵政策。严格按照政策规定，保质保量完成征兵任务。购买书籍资料 、开展全民国防教育 、为基干民兵购置冬、夏作训服、陆战靴、 胶鞋等、民兵组织训练和拉动服装规划统一，民兵体检，确保民兵体格健康，基层武装部基础设施得到加强。</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民兵演练</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征兵政策家喻户晓，新兵及家长对政策了解</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人民群众、新兵对征兵工作满意度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购置公务用车</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提高本单位外出办事效率</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提高本单位服务工作成效</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提高服务对象对服务成效的满意度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房屋维修</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乡政府办公楼维修改造，墙面粉刷，外墙保温，室内电路、插座、开关更新，屋面防水，门窗、地板拆除，购买窗户、窗帘、灯具、地板。</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房屋维修面积</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正常使用率</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机关干部满意程度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农村服务群众专项经费</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28.50</w:t>
            </w:r>
          </w:p>
        </w:tc>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保障19个村基础设施的建设及维修</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保障基础设施建设的村数</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村级基础设施的使用率</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群众使用基础设施的满意度</w:t>
            </w:r>
          </w:p>
        </w:tc>
        <w:tc>
          <w:tcPr>
            <w:tcW w:w="9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（一）一般公共服务支出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人大事务</w:t>
      </w:r>
      <w:r>
        <w:rPr>
          <w:rFonts w:hint="eastAsia" w:ascii="仿宋_GB2312" w:eastAsia="仿宋_GB2312"/>
          <w:b/>
          <w:bCs/>
          <w:sz w:val="32"/>
          <w:szCs w:val="32"/>
        </w:rPr>
        <w:t>（款）</w:t>
      </w:r>
      <w:r>
        <w:rPr>
          <w:rFonts w:hint="eastAsia" w:ascii="仿宋_GB2312" w:eastAsia="仿宋_GB2312"/>
          <w:b/>
          <w:bCs/>
          <w:sz w:val="32"/>
          <w:szCs w:val="32"/>
          <w:lang w:val="en-US" w:eastAsia="zh-CN"/>
        </w:rPr>
        <w:t>代表工作</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反映人大代表开展各类视察等方面的工作。</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政府办公厅（室）及相关机构事务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党委办公厅（室）及相关机构事务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其他一般公共服务支出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其他一般公共服务支出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反映除上述项目以外的其他一般公共服务支出。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（十一）卫生健康支出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（十二）农林水支出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农村综合改革</w:t>
      </w:r>
      <w:r>
        <w:rPr>
          <w:rFonts w:hint="eastAsia" w:ascii="仿宋_GB2312" w:eastAsia="仿宋_GB2312"/>
          <w:b/>
          <w:bCs/>
          <w:sz w:val="32"/>
          <w:szCs w:val="32"/>
        </w:rPr>
        <w:t>（款）</w:t>
      </w:r>
      <w:r>
        <w:rPr>
          <w:rFonts w:hint="eastAsia" w:ascii="仿宋_GB2312" w:eastAsia="仿宋_GB2312"/>
          <w:b/>
          <w:bCs/>
          <w:sz w:val="32"/>
          <w:szCs w:val="32"/>
          <w:lang w:val="en-US" w:eastAsia="zh-CN"/>
        </w:rPr>
        <w:t>对村民委员会和村党支部的补助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反映各级财政对村民委员会和村党支部的补助支出，以及支持建立县级基本财力保障机制安排的村级组织运转奖补资金。</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（十三）住房保障支出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ascii="仿宋_GB2312" w:eastAsia="仿宋_GB2312"/>
          <w:i/>
          <w:color w:val="000000"/>
          <w:sz w:val="30"/>
          <w:szCs w:val="30"/>
          <w:u w:val="single"/>
          <w:lang w:eastAsia="zh-CN"/>
        </w:rPr>
      </w:pPr>
      <w:r>
        <w:rPr>
          <w:rFonts w:hint="eastAsia" w:ascii="仿宋_GB2312" w:eastAsia="仿宋_GB2312"/>
          <w:sz w:val="32"/>
          <w:szCs w:val="32"/>
          <w:lang w:val="en-US" w:eastAsia="zh-CN"/>
        </w:rPr>
        <w:t>无。</w:t>
      </w:r>
    </w:p>
    <w:p>
      <w:pPr>
        <w:adjustRightInd w:val="0"/>
        <w:snapToGrid w:val="0"/>
        <w:spacing w:line="560" w:lineRule="exact"/>
        <w:ind w:firstLine="420" w:firstLineChars="200"/>
        <w:rPr>
          <w:rFonts w:hint="eastAsia"/>
        </w:rPr>
      </w:pPr>
      <w:bookmarkStart w:id="6" w:name="_GoBack"/>
      <w:bookmarkEnd w:id="6"/>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0ED7"/>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4A70C0"/>
    <w:rsid w:val="034C72DC"/>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9C5012"/>
    <w:rsid w:val="05A341D2"/>
    <w:rsid w:val="05C018BB"/>
    <w:rsid w:val="05C220DB"/>
    <w:rsid w:val="05C263D6"/>
    <w:rsid w:val="05CC0260"/>
    <w:rsid w:val="05E01F5E"/>
    <w:rsid w:val="05F81055"/>
    <w:rsid w:val="0612484F"/>
    <w:rsid w:val="06135E8F"/>
    <w:rsid w:val="061A5470"/>
    <w:rsid w:val="062956B3"/>
    <w:rsid w:val="064A5629"/>
    <w:rsid w:val="069A0522"/>
    <w:rsid w:val="06CD6EF6"/>
    <w:rsid w:val="06DB44D3"/>
    <w:rsid w:val="06E710CA"/>
    <w:rsid w:val="06EE3BED"/>
    <w:rsid w:val="06FC2DC7"/>
    <w:rsid w:val="07170AD3"/>
    <w:rsid w:val="073360BD"/>
    <w:rsid w:val="073C1416"/>
    <w:rsid w:val="07550B8D"/>
    <w:rsid w:val="075E75DE"/>
    <w:rsid w:val="07645B4A"/>
    <w:rsid w:val="076860A8"/>
    <w:rsid w:val="076D7821"/>
    <w:rsid w:val="078057A6"/>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48482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57211A"/>
    <w:rsid w:val="107734BE"/>
    <w:rsid w:val="107C6D27"/>
    <w:rsid w:val="10915F18"/>
    <w:rsid w:val="10A51DDA"/>
    <w:rsid w:val="10CA42ED"/>
    <w:rsid w:val="10D26947"/>
    <w:rsid w:val="10D60A11"/>
    <w:rsid w:val="10D91A83"/>
    <w:rsid w:val="10F20D97"/>
    <w:rsid w:val="110812BA"/>
    <w:rsid w:val="111C6472"/>
    <w:rsid w:val="11276C93"/>
    <w:rsid w:val="11963E18"/>
    <w:rsid w:val="11B06C88"/>
    <w:rsid w:val="11FC011F"/>
    <w:rsid w:val="12402145"/>
    <w:rsid w:val="12525F91"/>
    <w:rsid w:val="126B2BAF"/>
    <w:rsid w:val="12AD31C8"/>
    <w:rsid w:val="12B46304"/>
    <w:rsid w:val="12C329EB"/>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5FE1B72"/>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EC7E2C"/>
    <w:rsid w:val="18F30F3D"/>
    <w:rsid w:val="18F57676"/>
    <w:rsid w:val="190D2C12"/>
    <w:rsid w:val="19143CAF"/>
    <w:rsid w:val="191E61EF"/>
    <w:rsid w:val="191F64A1"/>
    <w:rsid w:val="19755131"/>
    <w:rsid w:val="19834C82"/>
    <w:rsid w:val="19AC41D9"/>
    <w:rsid w:val="19B968F6"/>
    <w:rsid w:val="19CC487B"/>
    <w:rsid w:val="19FF1621"/>
    <w:rsid w:val="1A165AF6"/>
    <w:rsid w:val="1A3734A7"/>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7F0A9F"/>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2111B2"/>
    <w:rsid w:val="206E3DD0"/>
    <w:rsid w:val="20741BDD"/>
    <w:rsid w:val="20844B51"/>
    <w:rsid w:val="20846DB3"/>
    <w:rsid w:val="20A06C94"/>
    <w:rsid w:val="20A26336"/>
    <w:rsid w:val="20D2147C"/>
    <w:rsid w:val="20EA55E7"/>
    <w:rsid w:val="210261A6"/>
    <w:rsid w:val="210A7A37"/>
    <w:rsid w:val="21156B08"/>
    <w:rsid w:val="21640FCD"/>
    <w:rsid w:val="21785657"/>
    <w:rsid w:val="218E0668"/>
    <w:rsid w:val="21D544E9"/>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8B14F0"/>
    <w:rsid w:val="299965AB"/>
    <w:rsid w:val="29CB06AB"/>
    <w:rsid w:val="29DB7C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BA252E"/>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B15332"/>
    <w:rsid w:val="31D16A7B"/>
    <w:rsid w:val="31EF0CAF"/>
    <w:rsid w:val="32035783"/>
    <w:rsid w:val="32186458"/>
    <w:rsid w:val="322A7F39"/>
    <w:rsid w:val="324D69E2"/>
    <w:rsid w:val="32625925"/>
    <w:rsid w:val="32966AE3"/>
    <w:rsid w:val="32DC44CB"/>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84A37"/>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06254A"/>
    <w:rsid w:val="3A1C0AAF"/>
    <w:rsid w:val="3A5C534F"/>
    <w:rsid w:val="3A667F7C"/>
    <w:rsid w:val="3AC151B3"/>
    <w:rsid w:val="3AE57819"/>
    <w:rsid w:val="3AF2601F"/>
    <w:rsid w:val="3AF85078"/>
    <w:rsid w:val="3B253993"/>
    <w:rsid w:val="3B2E2848"/>
    <w:rsid w:val="3B2F4FC9"/>
    <w:rsid w:val="3B3D1C05"/>
    <w:rsid w:val="3B626996"/>
    <w:rsid w:val="3B653D90"/>
    <w:rsid w:val="3BEE2461"/>
    <w:rsid w:val="3C292100"/>
    <w:rsid w:val="3C3E2DF0"/>
    <w:rsid w:val="3C552955"/>
    <w:rsid w:val="3C664263"/>
    <w:rsid w:val="3C667DC0"/>
    <w:rsid w:val="3C7613D4"/>
    <w:rsid w:val="3CEA3657"/>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8D6078"/>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3BE"/>
    <w:rsid w:val="44412933"/>
    <w:rsid w:val="445D5F4C"/>
    <w:rsid w:val="446A2417"/>
    <w:rsid w:val="44703ED1"/>
    <w:rsid w:val="44B32010"/>
    <w:rsid w:val="44D04970"/>
    <w:rsid w:val="44EF1C2A"/>
    <w:rsid w:val="45192D2B"/>
    <w:rsid w:val="456311BE"/>
    <w:rsid w:val="457F2762"/>
    <w:rsid w:val="45857508"/>
    <w:rsid w:val="45A100BA"/>
    <w:rsid w:val="45B62DA2"/>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195B1E"/>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0B60BD"/>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5E7473"/>
    <w:rsid w:val="4D7178A9"/>
    <w:rsid w:val="4D8C0AFD"/>
    <w:rsid w:val="4DA62712"/>
    <w:rsid w:val="4DDD4434"/>
    <w:rsid w:val="4DEB4950"/>
    <w:rsid w:val="4E173610"/>
    <w:rsid w:val="4E2118E3"/>
    <w:rsid w:val="4E265601"/>
    <w:rsid w:val="4E4F6905"/>
    <w:rsid w:val="4EA336D8"/>
    <w:rsid w:val="4EA36C51"/>
    <w:rsid w:val="4EE06F77"/>
    <w:rsid w:val="4EF80DAD"/>
    <w:rsid w:val="4F2558B8"/>
    <w:rsid w:val="4F2627F5"/>
    <w:rsid w:val="4F275265"/>
    <w:rsid w:val="4F3124AF"/>
    <w:rsid w:val="4F337FD5"/>
    <w:rsid w:val="4F600CF4"/>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A11092"/>
    <w:rsid w:val="52B94C95"/>
    <w:rsid w:val="52BE405A"/>
    <w:rsid w:val="52D7511B"/>
    <w:rsid w:val="535B1F07"/>
    <w:rsid w:val="5382152B"/>
    <w:rsid w:val="53B316E5"/>
    <w:rsid w:val="53C75190"/>
    <w:rsid w:val="543B33BC"/>
    <w:rsid w:val="54446A80"/>
    <w:rsid w:val="54622056"/>
    <w:rsid w:val="54776BB6"/>
    <w:rsid w:val="548457F1"/>
    <w:rsid w:val="549F0B68"/>
    <w:rsid w:val="54AB5BF1"/>
    <w:rsid w:val="54AB6860"/>
    <w:rsid w:val="54CF69F2"/>
    <w:rsid w:val="550A7A2A"/>
    <w:rsid w:val="550F5041"/>
    <w:rsid w:val="55472A2C"/>
    <w:rsid w:val="554C0043"/>
    <w:rsid w:val="55532D00"/>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B10EA"/>
    <w:rsid w:val="58BD4DB3"/>
    <w:rsid w:val="58DA7713"/>
    <w:rsid w:val="58E961AE"/>
    <w:rsid w:val="594D4389"/>
    <w:rsid w:val="595A2228"/>
    <w:rsid w:val="59B461B6"/>
    <w:rsid w:val="59D80245"/>
    <w:rsid w:val="5A032C9A"/>
    <w:rsid w:val="5A3A10D3"/>
    <w:rsid w:val="5A6373D1"/>
    <w:rsid w:val="5A84657D"/>
    <w:rsid w:val="5AAF7962"/>
    <w:rsid w:val="5AB000F4"/>
    <w:rsid w:val="5ABD033C"/>
    <w:rsid w:val="5ABF12B7"/>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9D05CD"/>
    <w:rsid w:val="60B62814"/>
    <w:rsid w:val="60B95927"/>
    <w:rsid w:val="60BF5B6D"/>
    <w:rsid w:val="610362D4"/>
    <w:rsid w:val="610B7004"/>
    <w:rsid w:val="6118527D"/>
    <w:rsid w:val="61202383"/>
    <w:rsid w:val="61371BA7"/>
    <w:rsid w:val="614222FA"/>
    <w:rsid w:val="61425A64"/>
    <w:rsid w:val="614B3CBF"/>
    <w:rsid w:val="617970BB"/>
    <w:rsid w:val="619554BD"/>
    <w:rsid w:val="61EE47DE"/>
    <w:rsid w:val="61F74CB9"/>
    <w:rsid w:val="61FA2BD4"/>
    <w:rsid w:val="61FF2350"/>
    <w:rsid w:val="62C3746A"/>
    <w:rsid w:val="62DE7EE0"/>
    <w:rsid w:val="630C0E11"/>
    <w:rsid w:val="631150EB"/>
    <w:rsid w:val="63181564"/>
    <w:rsid w:val="633D06EC"/>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34FBF"/>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580891"/>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0B435C"/>
    <w:rsid w:val="6C142268"/>
    <w:rsid w:val="6C182A5D"/>
    <w:rsid w:val="6C3C4515"/>
    <w:rsid w:val="6C3F3D03"/>
    <w:rsid w:val="6C45090D"/>
    <w:rsid w:val="6C4D743B"/>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5F604F"/>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4FD0245"/>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94387"/>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5A3620"/>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DF6165B"/>
    <w:rsid w:val="7E6C1E82"/>
    <w:rsid w:val="7E7E09BD"/>
    <w:rsid w:val="7EA128FE"/>
    <w:rsid w:val="7EA6685A"/>
    <w:rsid w:val="7EBC79B7"/>
    <w:rsid w:val="7F0D1FD5"/>
    <w:rsid w:val="7F2839F3"/>
    <w:rsid w:val="7F3D3362"/>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1"/>
    <w:unhideWhenUsed/>
    <w:qFormat/>
    <w:uiPriority w:val="99"/>
    <w:pPr>
      <w:spacing w:after="120"/>
      <w:ind w:left="420" w:leftChars="200"/>
    </w:p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99"/>
    <w:pPr>
      <w:ind w:firstLine="420"/>
    </w:pPr>
  </w:style>
  <w:style w:type="character" w:styleId="10">
    <w:name w:val="page number"/>
    <w:basedOn w:val="9"/>
    <w:qFormat/>
    <w:uiPriority w:val="0"/>
  </w:style>
  <w:style w:type="character" w:customStyle="1" w:styleId="11">
    <w:name w:val="批注框文本 Char"/>
    <w:link w:val="4"/>
    <w:semiHidden/>
    <w:qFormat/>
    <w:uiPriority w:val="99"/>
    <w:rPr>
      <w:rFonts w:ascii="Times New Roman" w:hAnsi="Times New Roman"/>
      <w:kern w:val="2"/>
      <w:sz w:val="18"/>
      <w:szCs w:val="18"/>
    </w:rPr>
  </w:style>
  <w:style w:type="character" w:customStyle="1" w:styleId="12">
    <w:name w:val="页脚 Char"/>
    <w:link w:val="5"/>
    <w:qFormat/>
    <w:uiPriority w:val="99"/>
    <w:rPr>
      <w:rFonts w:ascii="Times New Roman" w:hAnsi="Times New Roman"/>
      <w:kern w:val="2"/>
      <w:sz w:val="18"/>
      <w:szCs w:val="18"/>
    </w:rPr>
  </w:style>
  <w:style w:type="character" w:customStyle="1" w:styleId="13">
    <w:name w:val="页眉 Char"/>
    <w:link w:val="6"/>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7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9317</Words>
  <Characters>11164</Characters>
  <Lines>43</Lines>
  <Paragraphs>12</Paragraphs>
  <TotalTime>6</TotalTime>
  <ScaleCrop>false</ScaleCrop>
  <LinksUpToDate>false</LinksUpToDate>
  <CharactersWithSpaces>11292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2023-06-06T06:53:42Z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B2C997234CE749F2BA95340F5DE77ABE_13</vt:lpwstr>
  </property>
</Properties>
</file>