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湟源县交通运输局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（一）贯彻执行国家和省、市有关交通运输的方针政策和法律法规；拟订交通运输工作发展规划和年度计划，并组织实施。</w:t>
      </w:r>
    </w:p>
    <w:p>
      <w:pPr>
        <w:ind w:firstLine="640" w:firstLineChars="200"/>
        <w:rPr>
          <w:rFonts w:hint="eastAsia" w:ascii="仿宋_GB2312" w:eastAsia="仿宋_GB2312"/>
          <w:sz w:val="32"/>
          <w:szCs w:val="32"/>
        </w:rPr>
      </w:pPr>
      <w:r>
        <w:rPr>
          <w:rFonts w:hint="eastAsia" w:ascii="仿宋_GB2312" w:eastAsia="仿宋_GB2312"/>
          <w:sz w:val="32"/>
          <w:szCs w:val="32"/>
        </w:rPr>
        <w:t>（二）执行并监督实施公路有关制度、技术标准和运营规范；负责城乡客运设施规划和管理。</w:t>
      </w:r>
    </w:p>
    <w:p>
      <w:pPr>
        <w:ind w:firstLine="640" w:firstLineChars="200"/>
        <w:rPr>
          <w:rFonts w:hint="eastAsia" w:ascii="仿宋_GB2312" w:eastAsia="仿宋_GB2312"/>
          <w:sz w:val="32"/>
          <w:szCs w:val="32"/>
        </w:rPr>
      </w:pPr>
      <w:r>
        <w:rPr>
          <w:rFonts w:hint="eastAsia" w:ascii="仿宋_GB2312" w:eastAsia="仿宋_GB2312"/>
          <w:sz w:val="32"/>
          <w:szCs w:val="32"/>
        </w:rPr>
        <w:t>（三）承担公路运输市场、汽车驾驶学校和汽车驾驶员培训行业监管责任。负责交通运输行政执法行为的监督管理；维护道路交通运输和城乡客运的平等竞争秩序。</w:t>
      </w:r>
    </w:p>
    <w:p>
      <w:pPr>
        <w:ind w:firstLine="640" w:firstLineChars="200"/>
        <w:rPr>
          <w:rFonts w:hint="eastAsia" w:ascii="仿宋_GB2312" w:eastAsia="仿宋_GB2312"/>
          <w:sz w:val="32"/>
          <w:szCs w:val="32"/>
        </w:rPr>
      </w:pPr>
      <w:r>
        <w:rPr>
          <w:rFonts w:hint="eastAsia" w:ascii="仿宋_GB2312" w:eastAsia="仿宋_GB2312"/>
          <w:sz w:val="32"/>
          <w:szCs w:val="32"/>
        </w:rPr>
        <w:t>（四）负责提出交通运输行业固定资产投融资规模和方向、政府财政性资金安排意见；负责县级公路交通基础设施建设项目立项审查及申报工作。</w:t>
      </w:r>
    </w:p>
    <w:p>
      <w:pPr>
        <w:ind w:firstLine="640" w:firstLineChars="200"/>
        <w:rPr>
          <w:rFonts w:hint="eastAsia" w:ascii="仿宋_GB2312" w:eastAsia="仿宋_GB2312"/>
          <w:sz w:val="32"/>
          <w:szCs w:val="32"/>
        </w:rPr>
      </w:pPr>
      <w:r>
        <w:rPr>
          <w:rFonts w:hint="eastAsia" w:ascii="仿宋_GB2312" w:eastAsia="仿宋_GB2312"/>
          <w:sz w:val="32"/>
          <w:szCs w:val="32"/>
        </w:rPr>
        <w:t>（五）承担公路建设市场监管责任。负责协调国家及省市重点公路工程建设和工程质量、安全生产监督管理及代建支持项目的协调配合工作；负责监督交通运输基础设施的建设、养护和管理。</w:t>
      </w:r>
    </w:p>
    <w:p>
      <w:pPr>
        <w:ind w:firstLine="640" w:firstLineChars="200"/>
        <w:rPr>
          <w:rFonts w:hint="eastAsia" w:ascii="仿宋_GB2312" w:eastAsia="仿宋_GB2312"/>
          <w:sz w:val="32"/>
          <w:szCs w:val="32"/>
        </w:rPr>
      </w:pPr>
      <w:r>
        <w:rPr>
          <w:rFonts w:hint="eastAsia" w:ascii="仿宋_GB2312" w:eastAsia="仿宋_GB2312"/>
          <w:sz w:val="32"/>
          <w:szCs w:val="32"/>
        </w:rPr>
        <w:t>（六）负责交通运输行业安全生产和应急管理工作；组织或参与事故调查处理。</w:t>
      </w:r>
    </w:p>
    <w:p>
      <w:pPr>
        <w:ind w:firstLine="640" w:firstLineChars="200"/>
        <w:rPr>
          <w:rFonts w:hint="eastAsia" w:ascii="仿宋_GB2312" w:eastAsia="仿宋_GB2312"/>
          <w:sz w:val="32"/>
          <w:szCs w:val="32"/>
        </w:rPr>
      </w:pPr>
      <w:r>
        <w:rPr>
          <w:rFonts w:hint="eastAsia" w:ascii="仿宋_GB2312" w:eastAsia="仿宋_GB2312"/>
          <w:sz w:val="32"/>
          <w:szCs w:val="32"/>
        </w:rPr>
        <w:t>（七）负责交通运输信息化建设和交通运输行业技术进步工作；监测分析运行情况，开展交通运输行业综合统计工作，发布有关信息；负责县域内公路超限超载治理工作；负责交通运输行业环境保护和节能减排工作。</w:t>
      </w:r>
    </w:p>
    <w:p>
      <w:pPr>
        <w:ind w:firstLine="640" w:firstLineChars="200"/>
        <w:rPr>
          <w:rFonts w:hint="eastAsia" w:ascii="仿宋_GB2312" w:eastAsia="仿宋_GB2312"/>
          <w:sz w:val="32"/>
          <w:szCs w:val="32"/>
        </w:rPr>
      </w:pPr>
      <w:r>
        <w:rPr>
          <w:rFonts w:hint="eastAsia" w:ascii="仿宋_GB2312" w:eastAsia="仿宋_GB2312"/>
          <w:sz w:val="32"/>
          <w:szCs w:val="32"/>
        </w:rPr>
        <w:t>（八）负责城乡客运行业管理工作,执行相关政策、制度和标准；推进公交优先发展，协调做好县内公交线路、场站、站点的规划、建设和管理；负责出租汽车管理，依法规范出租客运经营行为，维护客运市场秩序。</w:t>
      </w:r>
    </w:p>
    <w:p>
      <w:pPr>
        <w:ind w:firstLine="640" w:firstLineChars="200"/>
        <w:rPr>
          <w:rFonts w:hint="eastAsia" w:ascii="仿宋_GB2312" w:eastAsia="仿宋_GB2312"/>
          <w:sz w:val="32"/>
          <w:szCs w:val="32"/>
        </w:rPr>
      </w:pPr>
      <w:r>
        <w:rPr>
          <w:rFonts w:hint="eastAsia" w:ascii="仿宋_GB2312" w:eastAsia="仿宋_GB2312"/>
          <w:sz w:val="32"/>
          <w:szCs w:val="32"/>
        </w:rPr>
        <w:t>（九）负责交通运输行业法制宣传工作。</w:t>
      </w:r>
    </w:p>
    <w:p>
      <w:pPr>
        <w:ind w:firstLine="640" w:firstLineChars="200"/>
        <w:rPr>
          <w:rFonts w:hint="eastAsia" w:ascii="仿宋_GB2312" w:eastAsia="仿宋_GB2312"/>
          <w:sz w:val="32"/>
          <w:szCs w:val="32"/>
        </w:rPr>
      </w:pPr>
      <w:r>
        <w:rPr>
          <w:rFonts w:hint="eastAsia" w:ascii="仿宋_GB2312" w:eastAsia="仿宋_GB2312"/>
          <w:sz w:val="32"/>
          <w:szCs w:val="32"/>
        </w:rPr>
        <w:t>（十）承办县政府交办的其他事项。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湟源县交通运输局包括一个行政单位（湟源县交通运输局）及下设三个事业单位（湟源县公路工程质量监督所、湟源县农村公路养护中心、湟源县交通运输综合行政执法大队）。</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eastAsia="仿宋_GB2312"/>
          <w:sz w:val="32"/>
          <w:szCs w:val="32"/>
        </w:rPr>
      </w:pPr>
      <w:r>
        <w:rPr>
          <w:rFonts w:hint="eastAsia" w:ascii="仿宋_GB2312" w:eastAsia="仿宋_GB2312"/>
          <w:sz w:val="32"/>
          <w:szCs w:val="32"/>
        </w:rPr>
        <w:t>纳入湟源县交通运输局2023年部门预算编制范围的二级预算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rPr>
                <w:rFonts w:hint="eastAsia" w:ascii="仿宋_GB2312" w:eastAsia="仿宋_GB2312"/>
                <w:sz w:val="32"/>
                <w:szCs w:val="32"/>
                <w:lang w:eastAsia="zh-CN"/>
              </w:rPr>
            </w:pPr>
            <w:r>
              <w:rPr>
                <w:rFonts w:hint="eastAsia" w:ascii="仿宋_GB2312" w:eastAsia="仿宋_GB2312"/>
                <w:sz w:val="32"/>
                <w:szCs w:val="32"/>
              </w:rPr>
              <w:t>湟源县交通运输局</w:t>
            </w:r>
            <w:r>
              <w:rPr>
                <w:rFonts w:hint="eastAsia" w:ascii="仿宋_GB2312" w:eastAsia="仿宋_GB2312"/>
                <w:sz w:val="32"/>
                <w:szCs w:val="32"/>
                <w:lang w:eastAsia="zh-CN"/>
              </w:rPr>
              <w:t>（</w:t>
            </w:r>
            <w:r>
              <w:rPr>
                <w:rFonts w:hint="eastAsia" w:ascii="仿宋_GB2312" w:eastAsia="仿宋_GB2312"/>
                <w:sz w:val="32"/>
                <w:szCs w:val="32"/>
                <w:lang w:val="en-US" w:eastAsia="zh-CN"/>
              </w:rPr>
              <w:t>本级</w:t>
            </w:r>
            <w:r>
              <w:rPr>
                <w:rFonts w:hint="eastAsia" w:ascii="仿宋_GB2312" w:eastAsia="仿宋_GB2312"/>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2</w:t>
            </w:r>
          </w:p>
        </w:tc>
        <w:tc>
          <w:tcPr>
            <w:tcW w:w="6328" w:type="dxa"/>
          </w:tcPr>
          <w:p>
            <w:pPr>
              <w:rPr>
                <w:rFonts w:ascii="仿宋_GB2312" w:eastAsia="仿宋_GB2312"/>
                <w:sz w:val="32"/>
                <w:szCs w:val="32"/>
              </w:rPr>
            </w:pPr>
            <w:r>
              <w:rPr>
                <w:rFonts w:hint="eastAsia" w:ascii="仿宋_GB2312" w:eastAsia="仿宋_GB2312"/>
                <w:sz w:val="32"/>
                <w:szCs w:val="32"/>
              </w:rPr>
              <w:t>湟源县公路工程质量监督所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3</w:t>
            </w:r>
          </w:p>
        </w:tc>
        <w:tc>
          <w:tcPr>
            <w:tcW w:w="6328" w:type="dxa"/>
          </w:tcPr>
          <w:p>
            <w:pPr>
              <w:rPr>
                <w:rFonts w:ascii="仿宋_GB2312" w:eastAsia="仿宋_GB2312"/>
                <w:sz w:val="32"/>
                <w:szCs w:val="32"/>
              </w:rPr>
            </w:pPr>
            <w:r>
              <w:rPr>
                <w:rFonts w:hint="eastAsia" w:ascii="仿宋_GB2312" w:eastAsia="仿宋_GB2312"/>
                <w:sz w:val="32"/>
                <w:szCs w:val="32"/>
              </w:rPr>
              <w:t>湟源县农村公路养护中心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c>
          <w:tcPr>
            <w:tcW w:w="6328" w:type="dxa"/>
          </w:tcPr>
          <w:p>
            <w:pPr>
              <w:rPr>
                <w:rFonts w:hint="eastAsia" w:ascii="仿宋_GB2312" w:eastAsia="仿宋_GB2312"/>
                <w:sz w:val="32"/>
                <w:szCs w:val="32"/>
              </w:rPr>
            </w:pPr>
            <w:r>
              <w:rPr>
                <w:rFonts w:hint="eastAsia" w:ascii="仿宋_GB2312" w:eastAsia="仿宋_GB2312"/>
                <w:sz w:val="32"/>
                <w:szCs w:val="32"/>
              </w:rPr>
              <w:t>湟源县交通运输综合行政执法大队</w:t>
            </w:r>
          </w:p>
        </w:tc>
      </w:tr>
    </w:tbl>
    <w:p>
      <w:pPr>
        <w:adjustRightInd w:val="0"/>
        <w:snapToGrid w:val="0"/>
        <w:spacing w:line="560" w:lineRule="exact"/>
        <w:ind w:firstLine="600" w:firstLineChars="200"/>
        <w:jc w:val="center"/>
        <w:rPr>
          <w:rFonts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fixed"/>
        <w:tblCellMar>
          <w:top w:w="0" w:type="dxa"/>
          <w:left w:w="108" w:type="dxa"/>
          <w:bottom w:w="0" w:type="dxa"/>
          <w:right w:w="108" w:type="dxa"/>
        </w:tblCellMar>
      </w:tblPr>
      <w:tblGrid>
        <w:gridCol w:w="3470"/>
        <w:gridCol w:w="1460"/>
        <w:gridCol w:w="336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493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9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4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4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3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4674.46</w:t>
            </w: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313.14</w:t>
            </w: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157.98</w:t>
            </w: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409.61</w:t>
            </w: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7652.48</w:t>
            </w: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121.80</w:t>
            </w: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4674.46</w:t>
            </w: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8655.02</w:t>
            </w: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3980.56</w:t>
            </w: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8655.02</w:t>
            </w:r>
          </w:p>
        </w:tc>
        <w:tc>
          <w:tcPr>
            <w:tcW w:w="336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8655.02</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180" w:type="dxa"/>
        <w:jc w:val="center"/>
        <w:tblLayout w:type="fixed"/>
        <w:tblCellMar>
          <w:top w:w="0" w:type="dxa"/>
          <w:left w:w="108" w:type="dxa"/>
          <w:bottom w:w="0" w:type="dxa"/>
          <w:right w:w="108" w:type="dxa"/>
        </w:tblCellMar>
      </w:tblPr>
      <w:tblGrid>
        <w:gridCol w:w="1049"/>
        <w:gridCol w:w="920"/>
        <w:gridCol w:w="920"/>
        <w:gridCol w:w="920"/>
        <w:gridCol w:w="920"/>
        <w:gridCol w:w="920"/>
        <w:gridCol w:w="920"/>
        <w:gridCol w:w="920"/>
        <w:gridCol w:w="920"/>
        <w:gridCol w:w="920"/>
        <w:gridCol w:w="920"/>
        <w:gridCol w:w="931"/>
      </w:tblGrid>
      <w:tr>
        <w:tblPrEx>
          <w:tblCellMar>
            <w:top w:w="0" w:type="dxa"/>
            <w:left w:w="108" w:type="dxa"/>
            <w:bottom w:w="0" w:type="dxa"/>
            <w:right w:w="108" w:type="dxa"/>
          </w:tblCellMar>
        </w:tblPrEx>
        <w:trPr>
          <w:trHeight w:val="392" w:hRule="atLeast"/>
          <w:jc w:val="center"/>
        </w:trPr>
        <w:tc>
          <w:tcPr>
            <w:tcW w:w="1118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8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80"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8655.02</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3980.56</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4674.46</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湟源县交通运输局</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8655.02</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3980.56</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4674.46</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湟源县交通运输局（本级）</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6037.01</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3704.23</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2332.78</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湟源县农村公路养护中心</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1558.34</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274.33</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1284.01</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湟源县公路工程质量监督所</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157.12</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湟源县交通运输综合行政执法大队</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902.55</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2.00</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900.55</w:t>
            </w: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85" w:type="dxa"/>
        <w:jc w:val="center"/>
        <w:tblLayout w:type="fixed"/>
        <w:tblCellMar>
          <w:top w:w="0" w:type="dxa"/>
          <w:left w:w="108" w:type="dxa"/>
          <w:bottom w:w="0" w:type="dxa"/>
          <w:right w:w="108" w:type="dxa"/>
        </w:tblCellMar>
      </w:tblPr>
      <w:tblGrid>
        <w:gridCol w:w="1100"/>
        <w:gridCol w:w="4213"/>
        <w:gridCol w:w="995"/>
        <w:gridCol w:w="995"/>
        <w:gridCol w:w="995"/>
        <w:gridCol w:w="995"/>
        <w:gridCol w:w="995"/>
        <w:gridCol w:w="997"/>
      </w:tblGrid>
      <w:tr>
        <w:tblPrEx>
          <w:tblCellMar>
            <w:top w:w="0" w:type="dxa"/>
            <w:left w:w="108" w:type="dxa"/>
            <w:bottom w:w="0" w:type="dxa"/>
            <w:right w:w="108" w:type="dxa"/>
          </w:tblCellMar>
        </w:tblPrEx>
        <w:trPr>
          <w:trHeight w:val="187" w:hRule="atLeast"/>
          <w:jc w:val="center"/>
        </w:trPr>
        <w:tc>
          <w:tcPr>
            <w:tcW w:w="1128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28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285"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31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8655.02</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1734.26</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6920.76</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313.14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313.14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307.47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307.47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135.94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135.94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67.97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67.97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103.56</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103.56</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5.67</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157.98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154.98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21004</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公共卫生</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2100410</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突发公共卫生事件应急处理</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154.98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154.98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25.44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70.20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70.20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59.34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59.34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巩固脱贫攻坚成果衔接乡村振兴</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409.61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2130504</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农村基础设施建设</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2130599</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其他巩固脱贫攻坚成果衔接乡村振兴支出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交通运输支出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7652.48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1144.33</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6508.15</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公路水路运输</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4254.18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1144.33</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3109.84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2140101</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142.58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98.58</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2140104</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公路建设</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1819.32</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1819.32</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2140106</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公路养护</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1360.61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356.09</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1004.52</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2140112</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公路运输管理</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607.22</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579.22</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2140199</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其他公路水路运输支出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324.44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110.44</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214.00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21406</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车辆购置税支出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2140602</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车辆购置税用于农村公路建设支出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3398.31</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121.80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121.80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121.80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121.80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42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121.80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121.80</w:t>
            </w: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1084"/>
        <w:gridCol w:w="2381"/>
        <w:gridCol w:w="1070"/>
        <w:gridCol w:w="1051"/>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9"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5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8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7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6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4674.46</w:t>
            </w: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07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8655.02</w:t>
            </w:r>
          </w:p>
        </w:tc>
        <w:tc>
          <w:tcPr>
            <w:tcW w:w="105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8655.02</w:t>
            </w: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4674.46</w:t>
            </w: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07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313.14</w:t>
            </w:r>
          </w:p>
        </w:tc>
        <w:tc>
          <w:tcPr>
            <w:tcW w:w="105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313.14</w:t>
            </w: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07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157.98</w:t>
            </w:r>
          </w:p>
        </w:tc>
        <w:tc>
          <w:tcPr>
            <w:tcW w:w="105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157.98</w:t>
            </w: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07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409.61</w:t>
            </w:r>
          </w:p>
        </w:tc>
        <w:tc>
          <w:tcPr>
            <w:tcW w:w="105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409.61</w:t>
            </w: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07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7652.48</w:t>
            </w:r>
          </w:p>
        </w:tc>
        <w:tc>
          <w:tcPr>
            <w:tcW w:w="105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7652.48</w:t>
            </w: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07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05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3980.56</w:t>
            </w: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3980.56</w:t>
            </w:r>
          </w:p>
        </w:tc>
        <w:tc>
          <w:tcPr>
            <w:tcW w:w="2381" w:type="dxa"/>
            <w:shd w:val="clear" w:color="auto" w:fill="FFFFFF"/>
            <w:noWrap/>
            <w:vAlign w:val="center"/>
          </w:tcPr>
          <w:p>
            <w:pPr>
              <w:widowControl/>
              <w:jc w:val="left"/>
              <w:rPr>
                <w:rFonts w:ascii="宋体" w:hAnsi="宋体" w:cs="宋体"/>
                <w:kern w:val="0"/>
                <w:sz w:val="20"/>
              </w:rPr>
            </w:pP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81" w:type="dxa"/>
            <w:shd w:val="clear" w:color="auto" w:fill="FFFFFF"/>
            <w:noWrap/>
            <w:vAlign w:val="center"/>
          </w:tcPr>
          <w:p>
            <w:pPr>
              <w:widowControl/>
              <w:jc w:val="left"/>
              <w:rPr>
                <w:rFonts w:ascii="宋体" w:hAnsi="宋体" w:cs="宋体"/>
                <w:kern w:val="0"/>
                <w:sz w:val="20"/>
              </w:rPr>
            </w:pPr>
          </w:p>
        </w:tc>
        <w:tc>
          <w:tcPr>
            <w:tcW w:w="1070" w:type="dxa"/>
            <w:shd w:val="clear" w:color="auto" w:fill="FFFFFF"/>
            <w:noWrap/>
            <w:vAlign w:val="center"/>
          </w:tcPr>
          <w:p>
            <w:pPr>
              <w:widowControl/>
              <w:jc w:val="center"/>
              <w:rPr>
                <w:rFonts w:ascii="宋体" w:hAnsi="宋体" w:cs="宋体"/>
                <w:kern w:val="0"/>
                <w:sz w:val="20"/>
              </w:rPr>
            </w:pPr>
          </w:p>
        </w:tc>
        <w:tc>
          <w:tcPr>
            <w:tcW w:w="1051" w:type="dxa"/>
            <w:shd w:val="clear" w:color="auto" w:fill="FFFFFF"/>
            <w:noWrap/>
            <w:vAlign w:val="center"/>
          </w:tcPr>
          <w:p>
            <w:pPr>
              <w:widowControl/>
              <w:jc w:val="center"/>
              <w:rPr>
                <w:rFonts w:ascii="宋体" w:hAnsi="宋体" w:cs="宋体"/>
                <w:kern w:val="0"/>
                <w:sz w:val="20"/>
              </w:rPr>
            </w:pPr>
          </w:p>
        </w:tc>
        <w:tc>
          <w:tcPr>
            <w:tcW w:w="116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8655.02</w:t>
            </w:r>
          </w:p>
        </w:tc>
        <w:tc>
          <w:tcPr>
            <w:tcW w:w="238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07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8655.02</w:t>
            </w:r>
          </w:p>
        </w:tc>
        <w:tc>
          <w:tcPr>
            <w:tcW w:w="105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8655.02</w:t>
            </w:r>
          </w:p>
        </w:tc>
        <w:tc>
          <w:tcPr>
            <w:tcW w:w="1168"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906"/>
        <w:gridCol w:w="1351"/>
        <w:gridCol w:w="1351"/>
        <w:gridCol w:w="135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9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5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4674.46</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1734.26</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2940.20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313.14</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313.14</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307.47</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307.47</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135.94</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135.94</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67.97</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67.97</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103.56</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103.56</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5.67</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5.67</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5.67</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5.67</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154.98</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154.98</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154.98</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154.98</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25.44</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25.44</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70.20</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70.20</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59.34</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59.34</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巩固脱贫攻坚成果衔接乡村振兴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其他巩固脱贫攻坚成果衔接乡村振兴支出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交通运输支出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3684.53</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1144.33</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2540.20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公路水路运输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1998.52</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1144.33</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854.19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142.58</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98.58</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公路养护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1086.28</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356.09</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730.19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公路运输管理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607.22</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579.22</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其他公路水路运输支出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162.44</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110.44</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车辆购置税支出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车辆购置税用于农村公路建设支出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1686.01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9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3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121.80</w:t>
            </w:r>
          </w:p>
        </w:tc>
        <w:tc>
          <w:tcPr>
            <w:tcW w:w="135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943"/>
        <w:gridCol w:w="2260"/>
        <w:gridCol w:w="2440"/>
        <w:gridCol w:w="230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4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0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43"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1734.26</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1675.70</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58.56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1524.80</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1524.80</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313.71</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313.71</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280.24</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280.24</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27.57</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27.57</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435.15</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435.15</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135.94</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135.94</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67.97</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67.97</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48.31</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48.31</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59.34</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59.34</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5.67</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5.67</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121.80</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121.80</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29.10</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29.10</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58.56</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58.56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4.71</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印刷费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4.40</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7.70</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4.13</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4.13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1.59</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14.86</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8.10</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4.76</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5.22</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5.22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150.90</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150.90</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99.62</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99.62</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退职（役）费</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3.09</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3.09</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47.34</w:t>
            </w: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47.34</w:t>
            </w: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310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资本性支出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基础设施建设</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其他资本性支出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对企业补助</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其他对企业补助</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94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2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4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86"/>
        <w:gridCol w:w="965"/>
        <w:gridCol w:w="965"/>
        <w:gridCol w:w="965"/>
        <w:gridCol w:w="965"/>
        <w:gridCol w:w="965"/>
        <w:gridCol w:w="965"/>
        <w:gridCol w:w="965"/>
        <w:gridCol w:w="965"/>
        <w:gridCol w:w="96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19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19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19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556"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41"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0"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886"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16"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10" w:type="dxa"/>
            <w:vMerge w:val="continue"/>
            <w:vAlign w:val="center"/>
          </w:tcPr>
          <w:p>
            <w:pPr>
              <w:widowControl/>
              <w:jc w:val="left"/>
              <w:rPr>
                <w:rFonts w:ascii="宋体" w:hAnsi="宋体" w:cs="宋体"/>
                <w:b/>
                <w:bCs/>
                <w:color w:val="000000"/>
                <w:kern w:val="0"/>
                <w:sz w:val="22"/>
                <w:szCs w:val="22"/>
              </w:rPr>
            </w:pPr>
          </w:p>
        </w:tc>
        <w:tc>
          <w:tcPr>
            <w:tcW w:w="886"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16"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10"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9.76</w:t>
            </w:r>
          </w:p>
        </w:tc>
        <w:tc>
          <w:tcPr>
            <w:tcW w:w="886"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9.69</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8.10</w:t>
            </w:r>
          </w:p>
        </w:tc>
        <w:tc>
          <w:tcPr>
            <w:tcW w:w="816"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1.59</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079" w:type="dxa"/>
        <w:jc w:val="center"/>
        <w:tblLayout w:type="fixed"/>
        <w:tblCellMar>
          <w:top w:w="0" w:type="dxa"/>
          <w:left w:w="108" w:type="dxa"/>
          <w:bottom w:w="0" w:type="dxa"/>
          <w:right w:w="108" w:type="dxa"/>
        </w:tblCellMar>
      </w:tblPr>
      <w:tblGrid>
        <w:gridCol w:w="4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0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0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0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6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6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4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6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一、关于湟源县交通运输局2023年部门收支预算情况的总体说明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交通运输局所有收入和支出均纳入部门预算管理。收入包括：一般公共预算拨款收入4674.46万元，上年结转3980.56万元；支出包括：社会保障和就业支出313.14万元，卫生健康支出157.98万元，农林水支出409.61万元，交通运输支出7652.48万元，住房保障支出121.80万元。湟源县交通运输局2023年收支总预算8655.02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二、关于湟源县交通运输局2023年部门收入预算情况说明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湟源县交通运输局2023年收入预算8655.02万元，其中：上年结转3980.56万元，占45.99%；一般公共预算拨款收入4674.46万元，占54.01%。</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676775" cy="21526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76775" cy="215265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三、关于湟源县交通运输局2023年部门支出预算情况说明</w:t>
      </w:r>
    </w:p>
    <w:p>
      <w:pPr>
        <w:ind w:firstLine="645"/>
        <w:rPr>
          <w:rFonts w:ascii="仿宋_GB2312" w:eastAsia="仿宋_GB2312"/>
          <w:sz w:val="32"/>
          <w:szCs w:val="32"/>
        </w:rPr>
      </w:pPr>
      <w:r>
        <w:rPr>
          <w:rFonts w:hint="eastAsia" w:ascii="仿宋_GB2312" w:eastAsia="仿宋_GB2312"/>
          <w:sz w:val="32"/>
          <w:szCs w:val="32"/>
        </w:rPr>
        <w:t>湟源县交通运输局2023年支出预算8655.02万元，其中：基本支出1734.26万元，占20.04%；项目支出6920.76万元，占79.96%。</w:t>
      </w:r>
    </w:p>
    <w:p>
      <w:pPr>
        <w:ind w:firstLine="645"/>
        <w:rPr>
          <w:rFonts w:ascii="仿宋_GB2312" w:eastAsia="仿宋_GB2312"/>
          <w:sz w:val="32"/>
          <w:szCs w:val="32"/>
        </w:rPr>
      </w:pPr>
      <w:r>
        <w:rPr>
          <w:rFonts w:ascii="仿宋_GB2312" w:eastAsia="仿宋_GB2312"/>
          <w:sz w:val="32"/>
          <w:szCs w:val="32"/>
        </w:rPr>
        <w:drawing>
          <wp:inline distT="0" distB="0" distL="0" distR="0">
            <wp:extent cx="4648200" cy="213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48200" cy="213360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四、关于湟源县交通运输局2023年财政拨款收支预算情况的总体说明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湟源县交通运输局2023年财政拨款收支总预算8655.02万元，比上年增加2079.25万元，主要是局机关及养护中心存在上年结转数及两单位农村公路项目较上年多，导致财政拨款收入较去</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w:t>
      </w:r>
      <w:r>
        <w:rPr>
          <w:rFonts w:hint="eastAsia" w:ascii="仿宋_GB2312" w:eastAsia="仿宋_GB2312"/>
          <w:sz w:val="32"/>
          <w:szCs w:val="32"/>
        </w:rPr>
        <w:t>收入包括：一般公共预算拨款收入4674.46万元，上年结转3980.56万元；政府性基金预算拨款收入0.00万元，上年结转0.00万元。支出包括： 社会保障和就业支出313.14万元， 卫生健康支出157.98万元， 农林水支出409.61万元， 交通运输支出7652.48万元， 住房保障支出121.80万元。</w:t>
      </w:r>
    </w:p>
    <w:p>
      <w:pPr>
        <w:ind w:firstLine="645"/>
        <w:rPr>
          <w:rFonts w:ascii="仿宋_GB2312" w:eastAsia="仿宋_GB2312"/>
          <w:sz w:val="32"/>
          <w:szCs w:val="32"/>
        </w:rPr>
      </w:pPr>
      <w:r>
        <w:rPr>
          <w:rFonts w:ascii="仿宋_GB2312" w:eastAsia="仿宋_GB2312"/>
          <w:sz w:val="32"/>
          <w:szCs w:val="32"/>
        </w:rPr>
        <w:drawing>
          <wp:inline distT="0" distB="0" distL="0" distR="0">
            <wp:extent cx="4686300" cy="2152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86300" cy="215265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五、关于湟源县交通运输局2023年一般公共预算当年拨款情况说明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highlight w:val="none"/>
        </w:rPr>
      </w:pPr>
      <w:r>
        <w:rPr>
          <w:rFonts w:hint="eastAsia" w:ascii="仿宋_GB2312" w:eastAsia="仿宋_GB2312"/>
          <w:sz w:val="32"/>
          <w:szCs w:val="32"/>
        </w:rPr>
        <w:t>湟源县交通运输局2023年一般公共预算当年拨款4674.46万元,比上年增加2355.90万元，主要是局机关及养护中心存在上年结转数及两单位农村公路项目较上年多，导致财政拨款收入较去年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667250" cy="1600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67250" cy="160020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社会保障和就业支出313.14万元，占6.70%；卫生健康支出154.98万元，占3.32%；农林水支出400.00万元，占8.56%；交通运输支出3684.53万元，占78.82%；住房保障支出121.80万元，占2.61%。</w:t>
      </w:r>
    </w:p>
    <w:p>
      <w:pPr>
        <w:ind w:firstLine="645"/>
        <w:rPr>
          <w:rFonts w:ascii="仿宋_GB2312" w:eastAsia="仿宋_GB2312"/>
          <w:sz w:val="32"/>
          <w:szCs w:val="32"/>
        </w:rPr>
      </w:pPr>
      <w:r>
        <w:rPr>
          <w:rFonts w:ascii="仿宋_GB2312" w:eastAsia="仿宋_GB2312"/>
          <w:sz w:val="32"/>
          <w:szCs w:val="32"/>
        </w:rPr>
        <w:drawing>
          <wp:inline distT="0" distB="0" distL="0" distR="0">
            <wp:extent cx="4591050" cy="2114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91050" cy="211455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1、社会保障和就业支出（类）行政事业单位养老支出（款）机关事业单位基本养老保险缴费支出（项）2023年预算数为135.94万元，比上年增加27.66万元，增长25.54%。主要是7</w:t>
      </w:r>
      <w:r>
        <w:rPr>
          <w:rFonts w:ascii="仿宋_GB2312" w:eastAsia="仿宋_GB2312"/>
          <w:sz w:val="32"/>
          <w:szCs w:val="32"/>
        </w:rPr>
        <w:t>2</w:t>
      </w:r>
      <w:r>
        <w:rPr>
          <w:rFonts w:hint="eastAsia" w:ascii="仿宋_GB2312" w:eastAsia="仿宋_GB2312"/>
          <w:sz w:val="32"/>
          <w:szCs w:val="32"/>
        </w:rPr>
        <w:t>名事业人员岗位晋级，工资变动，基数调整；养护中心新招录一名在职人员。</w:t>
      </w:r>
    </w:p>
    <w:p>
      <w:pPr>
        <w:ind w:firstLine="645"/>
        <w:rPr>
          <w:rFonts w:hint="eastAsia"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2、社会保障和就业支出（类）行政事业单位养老支出（款）机关事业单位职业年金缴费支出（项）2023年预算数为67.97万元，比上年增加13.83万元，增长25.54%。主要是7</w:t>
      </w:r>
      <w:r>
        <w:rPr>
          <w:rFonts w:ascii="仿宋_GB2312" w:eastAsia="仿宋_GB2312"/>
          <w:sz w:val="32"/>
          <w:szCs w:val="32"/>
        </w:rPr>
        <w:t>2</w:t>
      </w:r>
      <w:r>
        <w:rPr>
          <w:rFonts w:hint="eastAsia" w:ascii="仿宋_GB2312" w:eastAsia="仿宋_GB2312"/>
          <w:sz w:val="32"/>
          <w:szCs w:val="32"/>
        </w:rPr>
        <w:t>名事业人员岗位晋级，工资变动，基数调整；养护中心新招录一名在职人员。</w:t>
      </w:r>
    </w:p>
    <w:p>
      <w:pPr>
        <w:ind w:firstLine="645"/>
        <w:rPr>
          <w:rFonts w:hint="eastAsia" w:ascii="仿宋_GB2312" w:eastAsia="仿宋_GB2312"/>
          <w:sz w:val="32"/>
          <w:szCs w:val="32"/>
        </w:rPr>
      </w:pPr>
      <w:r>
        <w:rPr>
          <w:rFonts w:hint="eastAsia" w:ascii="仿宋_GB2312" w:eastAsia="仿宋_GB2312"/>
          <w:sz w:val="32"/>
          <w:szCs w:val="32"/>
        </w:rPr>
        <w:t>3、社会保障和就业支出（类）行政事业单位养老支出（款）其他行政事业单位养老支出（项）2023年预算数为103.56万元，比上年增加17.37万元，增长20.15%。主要是7</w:t>
      </w:r>
      <w:r>
        <w:rPr>
          <w:rFonts w:ascii="仿宋_GB2312" w:eastAsia="仿宋_GB2312"/>
          <w:sz w:val="32"/>
          <w:szCs w:val="32"/>
        </w:rPr>
        <w:t>2</w:t>
      </w:r>
      <w:r>
        <w:rPr>
          <w:rFonts w:hint="eastAsia" w:ascii="仿宋_GB2312" w:eastAsia="仿宋_GB2312"/>
          <w:sz w:val="32"/>
          <w:szCs w:val="32"/>
        </w:rPr>
        <w:t>名事业人员岗位晋级，工资变动，基数调整；养护中心新招录一名在职人员。</w:t>
      </w:r>
    </w:p>
    <w:p>
      <w:pPr>
        <w:ind w:firstLine="645"/>
        <w:rPr>
          <w:rFonts w:hint="eastAsia" w:ascii="仿宋_GB2312" w:eastAsia="仿宋_GB2312"/>
          <w:sz w:val="32"/>
          <w:szCs w:val="32"/>
        </w:rPr>
      </w:pPr>
      <w:r>
        <w:rPr>
          <w:rFonts w:hint="eastAsia" w:ascii="仿宋_GB2312" w:eastAsia="仿宋_GB2312"/>
          <w:sz w:val="32"/>
          <w:szCs w:val="32"/>
        </w:rPr>
        <w:t>4、社会保障和就业支出（类）其他社会保障和就业支出（款）其他社会保障和就业支出（项）2023年预算数为5.67万元，比上年减少0.58万元，下降9.28%。主要是交通执法大队一人退休。</w:t>
      </w:r>
    </w:p>
    <w:p>
      <w:pPr>
        <w:ind w:firstLine="645"/>
        <w:rPr>
          <w:rFonts w:hint="eastAsia" w:ascii="仿宋_GB2312" w:eastAsia="仿宋_GB2312"/>
          <w:sz w:val="32"/>
          <w:szCs w:val="32"/>
        </w:rPr>
      </w:pPr>
      <w:r>
        <w:rPr>
          <w:rFonts w:hint="eastAsia" w:ascii="仿宋_GB2312" w:eastAsia="仿宋_GB2312"/>
          <w:sz w:val="32"/>
          <w:szCs w:val="32"/>
        </w:rPr>
        <w:t>5、卫生健康支出（类）行政事业单位医疗（款）行政单位医疗（项）2023年预算数为25.44万元，比上年增加7.25万元，增长39.86%。主要是7</w:t>
      </w:r>
      <w:r>
        <w:rPr>
          <w:rFonts w:ascii="仿宋_GB2312" w:eastAsia="仿宋_GB2312"/>
          <w:sz w:val="32"/>
          <w:szCs w:val="32"/>
        </w:rPr>
        <w:t>2</w:t>
      </w:r>
      <w:r>
        <w:rPr>
          <w:rFonts w:hint="eastAsia" w:ascii="仿宋_GB2312" w:eastAsia="仿宋_GB2312"/>
          <w:sz w:val="32"/>
          <w:szCs w:val="32"/>
        </w:rPr>
        <w:t>名事业人员岗位晋级，工资变动，基数调整；养护中心新招录一名在职人员。</w:t>
      </w:r>
    </w:p>
    <w:p>
      <w:pPr>
        <w:ind w:firstLine="645"/>
        <w:rPr>
          <w:rFonts w:hint="eastAsia" w:ascii="仿宋_GB2312" w:eastAsia="仿宋_GB2312"/>
          <w:sz w:val="32"/>
          <w:szCs w:val="32"/>
        </w:rPr>
      </w:pPr>
      <w:r>
        <w:rPr>
          <w:rFonts w:hint="eastAsia" w:ascii="仿宋_GB2312" w:eastAsia="仿宋_GB2312"/>
          <w:sz w:val="32"/>
          <w:szCs w:val="32"/>
        </w:rPr>
        <w:t>6、卫生健康支出（类）行政事业单位医疗（款）事业单位医疗（项）2023年预算数为70.20万元，比上年减少2.95万元，下降4.03%。主要是交通执法大队2</w:t>
      </w:r>
      <w:r>
        <w:rPr>
          <w:rFonts w:ascii="仿宋_GB2312" w:eastAsia="仿宋_GB2312"/>
          <w:sz w:val="32"/>
          <w:szCs w:val="32"/>
        </w:rPr>
        <w:t>022</w:t>
      </w:r>
      <w:r>
        <w:rPr>
          <w:rFonts w:hint="eastAsia" w:ascii="仿宋_GB2312" w:eastAsia="仿宋_GB2312"/>
          <w:sz w:val="32"/>
          <w:szCs w:val="32"/>
        </w:rPr>
        <w:t>年底退休一人。</w:t>
      </w:r>
    </w:p>
    <w:p>
      <w:pPr>
        <w:ind w:firstLine="645"/>
        <w:rPr>
          <w:rFonts w:hint="eastAsia" w:ascii="仿宋_GB2312" w:eastAsia="仿宋_GB2312"/>
          <w:sz w:val="32"/>
          <w:szCs w:val="32"/>
        </w:rPr>
      </w:pPr>
      <w:r>
        <w:rPr>
          <w:rFonts w:hint="eastAsia" w:ascii="仿宋_GB2312" w:eastAsia="仿宋_GB2312"/>
          <w:sz w:val="32"/>
          <w:szCs w:val="32"/>
        </w:rPr>
        <w:t>7、卫生健康支出（类）行政事业单位医疗（款）公务员医疗补助（项）2023年预算数为59.34万元，比上年减少6.48万元，下降9.85%。主要是交通执法大队2</w:t>
      </w:r>
      <w:r>
        <w:rPr>
          <w:rFonts w:ascii="仿宋_GB2312" w:eastAsia="仿宋_GB2312"/>
          <w:sz w:val="32"/>
          <w:szCs w:val="32"/>
        </w:rPr>
        <w:t>022</w:t>
      </w:r>
      <w:r>
        <w:rPr>
          <w:rFonts w:hint="eastAsia" w:ascii="仿宋_GB2312" w:eastAsia="仿宋_GB2312"/>
          <w:sz w:val="32"/>
          <w:szCs w:val="32"/>
        </w:rPr>
        <w:t>年底退休一人。</w:t>
      </w:r>
    </w:p>
    <w:p>
      <w:pPr>
        <w:ind w:firstLine="645"/>
        <w:rPr>
          <w:rFonts w:hint="eastAsia" w:ascii="仿宋_GB2312" w:eastAsia="仿宋_GB2312"/>
          <w:sz w:val="32"/>
          <w:szCs w:val="32"/>
          <w:highlight w:val="none"/>
          <w:lang w:eastAsia="zh-CN"/>
        </w:rPr>
      </w:pPr>
      <w:r>
        <w:rPr>
          <w:rFonts w:hint="eastAsia" w:ascii="仿宋_GB2312" w:eastAsia="仿宋_GB2312"/>
          <w:sz w:val="32"/>
          <w:szCs w:val="32"/>
        </w:rPr>
        <w:t>8、农林水支出（类）巩固脱贫攻坚成果衔接乡村振兴（款）其他巩固脱贫攻坚成果衔接乡村振兴支出（项）2023年预算数为400.00万元，比上年增加400.00万元，增长100.00%。</w:t>
      </w:r>
      <w:r>
        <w:rPr>
          <w:rFonts w:hint="eastAsia" w:ascii="仿宋_GB2312" w:eastAsia="仿宋_GB2312"/>
          <w:sz w:val="32"/>
          <w:szCs w:val="32"/>
          <w:highlight w:val="none"/>
          <w:lang w:eastAsia="zh-CN"/>
        </w:rPr>
        <w:t>主要是本年新增项目支出，</w:t>
      </w:r>
      <w:r>
        <w:rPr>
          <w:rFonts w:hint="eastAsia" w:ascii="仿宋_GB2312" w:eastAsia="仿宋_GB2312"/>
          <w:sz w:val="32"/>
          <w:szCs w:val="32"/>
          <w:highlight w:val="none"/>
        </w:rPr>
        <w:t>用于农村公路项目建设</w:t>
      </w:r>
      <w:r>
        <w:rPr>
          <w:rFonts w:hint="eastAsia" w:ascii="仿宋_GB2312" w:eastAsia="仿宋_GB2312"/>
          <w:sz w:val="32"/>
          <w:szCs w:val="32"/>
          <w:highlight w:val="none"/>
          <w:lang w:eastAsia="zh-CN"/>
        </w:rPr>
        <w:t>。</w:t>
      </w:r>
    </w:p>
    <w:p>
      <w:pPr>
        <w:ind w:firstLine="645"/>
        <w:rPr>
          <w:rFonts w:ascii="仿宋_GB2312" w:eastAsia="仿宋_GB2312"/>
          <w:sz w:val="32"/>
          <w:szCs w:val="32"/>
        </w:rPr>
      </w:pPr>
      <w:r>
        <w:rPr>
          <w:rFonts w:hint="eastAsia" w:ascii="仿宋_GB2312" w:eastAsia="仿宋_GB2312"/>
          <w:sz w:val="32"/>
          <w:szCs w:val="32"/>
        </w:rPr>
        <w:t>9、交通运输支出（类）公路水路运输（款）行政运行（项）2023年预算数为142.58万元，比上年减少7.15万元，下降4.78%。主要是行政运行经费减少。</w:t>
      </w:r>
    </w:p>
    <w:p>
      <w:pPr>
        <w:ind w:firstLine="645"/>
        <w:rPr>
          <w:rFonts w:ascii="仿宋_GB2312" w:eastAsia="仿宋_GB2312"/>
          <w:sz w:val="32"/>
          <w:szCs w:val="32"/>
        </w:rPr>
      </w:pPr>
      <w:r>
        <w:rPr>
          <w:rFonts w:hint="eastAsia" w:ascii="仿宋_GB2312" w:eastAsia="仿宋_GB2312"/>
          <w:sz w:val="32"/>
          <w:szCs w:val="32"/>
        </w:rPr>
        <w:t>10、交通运输支出（类）公路水路运输（款）公路养护（项）2023年预算数为1086.28万元，比上年增加467.38万元，增长75.52%。主要是养护中心新增一人，养护农村公路项目增加。</w:t>
      </w:r>
    </w:p>
    <w:p>
      <w:pPr>
        <w:ind w:firstLine="645"/>
        <w:rPr>
          <w:rFonts w:hint="eastAsia" w:ascii="仿宋_GB2312" w:eastAsia="仿宋_GB2312"/>
          <w:sz w:val="32"/>
          <w:szCs w:val="32"/>
        </w:rPr>
      </w:pPr>
      <w:r>
        <w:rPr>
          <w:rFonts w:hint="eastAsia" w:ascii="仿宋_GB2312" w:eastAsia="仿宋_GB2312"/>
          <w:sz w:val="32"/>
          <w:szCs w:val="32"/>
        </w:rPr>
        <w:t>11、交通运输支出（类）公路水路运输（款）公路运输管理（项）2023年预算数为607.22万元，比上年减少28.77万元，下降4.52%。主要是缩减综合业务补助经费。</w:t>
      </w:r>
    </w:p>
    <w:p>
      <w:pPr>
        <w:ind w:firstLine="645"/>
        <w:rPr>
          <w:rFonts w:ascii="仿宋_GB2312" w:eastAsia="仿宋_GB2312"/>
          <w:sz w:val="32"/>
          <w:szCs w:val="32"/>
        </w:rPr>
      </w:pPr>
      <w:r>
        <w:rPr>
          <w:rFonts w:hint="eastAsia" w:ascii="仿宋_GB2312" w:eastAsia="仿宋_GB2312"/>
          <w:sz w:val="32"/>
          <w:szCs w:val="32"/>
        </w:rPr>
        <w:t>12、交通运输支出（类）公路水路运输（款）其他公路水路运输支出（项）2023年预算数为162.44万元，比上年增加14.00万元，增长9.43%。主要是财政对公交公司的补助费用增加。</w:t>
      </w:r>
    </w:p>
    <w:p>
      <w:pPr>
        <w:ind w:firstLine="645"/>
        <w:rPr>
          <w:rFonts w:hint="eastAsia" w:ascii="仿宋_GB2312" w:eastAsia="仿宋_GB2312"/>
          <w:sz w:val="32"/>
          <w:szCs w:val="32"/>
        </w:rPr>
      </w:pPr>
      <w:r>
        <w:rPr>
          <w:rFonts w:hint="eastAsia" w:ascii="仿宋_GB2312" w:eastAsia="仿宋_GB2312"/>
          <w:sz w:val="32"/>
          <w:szCs w:val="32"/>
        </w:rPr>
        <w:t>13、交通运输支出（类）车辆购置税支出（款）车辆购置税用于农村公路建设支出（项）2023年预算数为1686.01万元，比上年增加1431.44万元，增长562.30%。主要是2</w:t>
      </w:r>
      <w:r>
        <w:rPr>
          <w:rFonts w:ascii="仿宋_GB2312" w:eastAsia="仿宋_GB2312"/>
          <w:sz w:val="32"/>
          <w:szCs w:val="32"/>
        </w:rPr>
        <w:t>023</w:t>
      </w:r>
      <w:r>
        <w:rPr>
          <w:rFonts w:hint="eastAsia" w:ascii="仿宋_GB2312" w:eastAsia="仿宋_GB2312"/>
          <w:sz w:val="32"/>
          <w:szCs w:val="32"/>
        </w:rPr>
        <w:t>年车辆购置税拨入，农村公路项目增加。</w:t>
      </w:r>
    </w:p>
    <w:p>
      <w:pPr>
        <w:ind w:firstLine="645"/>
        <w:rPr>
          <w:rFonts w:hint="eastAsia" w:ascii="仿宋_GB2312" w:eastAsia="仿宋_GB2312"/>
          <w:sz w:val="32"/>
          <w:szCs w:val="32"/>
        </w:rPr>
      </w:pPr>
      <w:r>
        <w:rPr>
          <w:rFonts w:hint="eastAsia" w:ascii="仿宋_GB2312" w:eastAsia="仿宋_GB2312"/>
          <w:sz w:val="32"/>
          <w:szCs w:val="32"/>
        </w:rPr>
        <w:t>14、住房保障支出（类）住房改革支出（款）住房公积金（项）2023年预算数为121.80万元，比上年增加22.89万元，增长23.14%。主要是7</w:t>
      </w:r>
      <w:r>
        <w:rPr>
          <w:rFonts w:ascii="仿宋_GB2312" w:eastAsia="仿宋_GB2312"/>
          <w:sz w:val="32"/>
          <w:szCs w:val="32"/>
        </w:rPr>
        <w:t>2</w:t>
      </w:r>
      <w:r>
        <w:rPr>
          <w:rFonts w:hint="eastAsia" w:ascii="仿宋_GB2312" w:eastAsia="仿宋_GB2312"/>
          <w:sz w:val="32"/>
          <w:szCs w:val="32"/>
        </w:rPr>
        <w:t>位事业人员岗位晋级，工资上涨，公积金调整；养护中心新增一人。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湟源县交通运输局2023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湟源县交通运输局2023年一般公共预算基本支出1734.26万元，其中：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1675.70万元，主要包括：基本工资313.71万元、津贴补贴280.24万元、奖金27.57万元、绩效工资435.15万元、机关事业单位基本养老保险缴费135.94万元、职业年金缴费67.97万元、职工基本医疗保险缴费48.31万元、公务员医疗补助缴费59.34万元、其他社会保障缴费5.67万元、住房公积金121.80万元、其他工资福利支出29.10万元、退休费99.62万元、退职（役）费3.09万元、生活补助0.84万元、医疗费补助47.34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58.56万元，主要包括：办公费4.71万元、水费1.54万元、电费1.54万元、邮电费4.40万元、取暖费7.70万元、差旅费4.13万元、公务接待费1.59万元、工会经费14.86万元、公务用车运行维护费8.10万元、其他交通费用4.76万元、其他商品和服务支出5.22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湟源县交通运输局2023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rPr>
        <w:t>湟源县交通运输局2023年一般公共预算“三公”经费预算数为9.69万元，比上年减少0.07万元，其中：因公出国（境）费0.00万元，增加0.00万元；公务用车购置及运行费8.10万元，增加0.00万元；公务接待费1.59万元，减少0.07万元。2023年“三公”经费预算比上年减少主要是系统两辆公务车报废，支出减少。</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湟源县交通运输局2023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湟源县交通运输局2023年没有使用政府性基金预算拨款安排的支出。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2023年湟源县交通运输局机关运行经费财政拨款预算58.56万元，比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年预算减少4.24万元，下降6.75%。主要是压缩经费，公务车报废，支出减少。</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2023年湟源县交通运输局各单位政府采购预算总额</w:t>
      </w:r>
      <w:r>
        <w:rPr>
          <w:rFonts w:ascii="仿宋_GB2312" w:hAnsi="仿宋" w:eastAsia="仿宋_GB2312"/>
          <w:spacing w:val="-6"/>
          <w:kern w:val="2"/>
          <w:sz w:val="32"/>
          <w:szCs w:val="32"/>
          <w:lang w:val="en-US"/>
        </w:rPr>
        <w:t>4266.61</w:t>
      </w:r>
      <w:r>
        <w:rPr>
          <w:rFonts w:hint="eastAsia" w:ascii="仿宋_GB2312" w:hAnsi="仿宋" w:eastAsia="仿宋_GB2312"/>
          <w:spacing w:val="-6"/>
          <w:kern w:val="2"/>
          <w:sz w:val="32"/>
          <w:szCs w:val="32"/>
          <w:lang w:val="en-US"/>
        </w:rPr>
        <w:t>万元，其中：政府采购货物预算</w:t>
      </w:r>
      <w:r>
        <w:rPr>
          <w:rFonts w:ascii="仿宋_GB2312" w:hAnsi="仿宋" w:eastAsia="仿宋_GB2312"/>
          <w:spacing w:val="-6"/>
          <w:kern w:val="2"/>
          <w:sz w:val="32"/>
          <w:szCs w:val="32"/>
          <w:lang w:val="en-US"/>
        </w:rPr>
        <w:t>31.48</w:t>
      </w:r>
      <w:r>
        <w:rPr>
          <w:rFonts w:hint="eastAsia" w:ascii="仿宋_GB2312" w:hAnsi="仿宋" w:eastAsia="仿宋_GB2312"/>
          <w:spacing w:val="-6"/>
          <w:kern w:val="2"/>
          <w:sz w:val="32"/>
          <w:szCs w:val="32"/>
          <w:lang w:val="en-US"/>
        </w:rPr>
        <w:t>万元、政府采购工程预算</w:t>
      </w:r>
      <w:r>
        <w:rPr>
          <w:rFonts w:ascii="仿宋_GB2312" w:hAnsi="仿宋" w:eastAsia="仿宋_GB2312"/>
          <w:spacing w:val="-6"/>
          <w:kern w:val="2"/>
          <w:sz w:val="32"/>
          <w:szCs w:val="32"/>
          <w:lang w:val="en-US"/>
        </w:rPr>
        <w:t>4138.13</w:t>
      </w:r>
      <w:r>
        <w:rPr>
          <w:rFonts w:hint="eastAsia" w:ascii="仿宋_GB2312" w:hAnsi="仿宋" w:eastAsia="仿宋_GB2312"/>
          <w:spacing w:val="-6"/>
          <w:kern w:val="2"/>
          <w:sz w:val="32"/>
          <w:szCs w:val="32"/>
          <w:lang w:val="en-US"/>
        </w:rPr>
        <w:t>万元、政府采购服务预算</w:t>
      </w:r>
      <w:r>
        <w:rPr>
          <w:rFonts w:ascii="仿宋_GB2312" w:hAnsi="仿宋" w:eastAsia="仿宋_GB2312"/>
          <w:spacing w:val="-6"/>
          <w:kern w:val="2"/>
          <w:sz w:val="32"/>
          <w:szCs w:val="32"/>
          <w:lang w:val="en-US"/>
        </w:rPr>
        <w:t>9</w:t>
      </w:r>
      <w:r>
        <w:rPr>
          <w:rFonts w:hint="eastAsia" w:ascii="仿宋_GB2312" w:hAnsi="仿宋" w:eastAsia="仿宋_GB2312"/>
          <w:spacing w:val="-6"/>
          <w:kern w:val="2"/>
          <w:sz w:val="32"/>
          <w:szCs w:val="32"/>
          <w:lang w:val="en-US" w:eastAsia="zh-CN"/>
        </w:rPr>
        <w:t>7.00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截至2023年2月底，湟源县交通运输局所属各预算单位共有车辆</w:t>
      </w:r>
      <w:r>
        <w:rPr>
          <w:rFonts w:ascii="仿宋_GB2312" w:hAnsi="仿宋" w:eastAsia="仿宋_GB2312"/>
          <w:spacing w:val="-6"/>
          <w:kern w:val="2"/>
          <w:sz w:val="32"/>
          <w:szCs w:val="32"/>
          <w:lang w:val="en-US"/>
        </w:rPr>
        <w:t>12</w:t>
      </w:r>
      <w:r>
        <w:rPr>
          <w:rFonts w:hint="eastAsia" w:ascii="仿宋_GB2312" w:hAnsi="仿宋" w:eastAsia="仿宋_GB2312"/>
          <w:spacing w:val="-6"/>
          <w:kern w:val="2"/>
          <w:sz w:val="32"/>
          <w:szCs w:val="32"/>
          <w:lang w:val="en-US"/>
        </w:rPr>
        <w:t>辆，其中，省级领导干部用车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辆、厅级领导干部用车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辆、一般公务用车</w:t>
      </w:r>
      <w:r>
        <w:rPr>
          <w:rFonts w:ascii="仿宋_GB2312" w:hAnsi="仿宋" w:eastAsia="仿宋_GB2312"/>
          <w:spacing w:val="-6"/>
          <w:kern w:val="2"/>
          <w:sz w:val="32"/>
          <w:szCs w:val="32"/>
          <w:lang w:val="en-US"/>
        </w:rPr>
        <w:t>1</w:t>
      </w:r>
      <w:r>
        <w:rPr>
          <w:rFonts w:hint="eastAsia" w:ascii="仿宋_GB2312" w:hAnsi="仿宋" w:eastAsia="仿宋_GB2312"/>
          <w:spacing w:val="-6"/>
          <w:kern w:val="2"/>
          <w:sz w:val="32"/>
          <w:szCs w:val="32"/>
          <w:lang w:val="en-US"/>
        </w:rPr>
        <w:t>辆、一般执法执勤用车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辆、特种专业技术用车</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辆、其他用车</w:t>
      </w:r>
      <w:r>
        <w:rPr>
          <w:rFonts w:ascii="仿宋_GB2312" w:hAnsi="仿宋" w:eastAsia="仿宋_GB2312"/>
          <w:spacing w:val="-6"/>
          <w:kern w:val="2"/>
          <w:sz w:val="32"/>
          <w:szCs w:val="32"/>
          <w:lang w:val="en-US"/>
        </w:rPr>
        <w:t>11</w:t>
      </w:r>
      <w:r>
        <w:rPr>
          <w:rFonts w:hint="eastAsia" w:ascii="仿宋_GB2312" w:hAnsi="仿宋" w:eastAsia="仿宋_GB2312"/>
          <w:spacing w:val="-6"/>
          <w:kern w:val="2"/>
          <w:sz w:val="32"/>
          <w:szCs w:val="32"/>
          <w:lang w:val="en-US"/>
        </w:rPr>
        <w:t>辆。单价50万元以上通用设备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台（套），单价100万元以上专用设备</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2023年湟源县交通运输局预算均实行绩效目标管理，涉及项目16个，预算金额2940.20万元。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湟源县交通运输局（本级）</w:t>
      </w:r>
    </w:p>
    <w:tbl>
      <w:tblPr>
        <w:tblStyle w:val="5"/>
        <w:tblW w:w="10476" w:type="dxa"/>
        <w:jc w:val="center"/>
        <w:tblLayout w:type="fixed"/>
        <w:tblCellMar>
          <w:top w:w="0" w:type="dxa"/>
          <w:left w:w="108" w:type="dxa"/>
          <w:bottom w:w="0" w:type="dxa"/>
          <w:right w:w="108" w:type="dxa"/>
        </w:tblCellMar>
      </w:tblPr>
      <w:tblGrid>
        <w:gridCol w:w="1249"/>
        <w:gridCol w:w="1212"/>
        <w:gridCol w:w="1895"/>
        <w:gridCol w:w="822"/>
        <w:gridCol w:w="811"/>
        <w:gridCol w:w="1667"/>
        <w:gridCol w:w="1000"/>
        <w:gridCol w:w="927"/>
        <w:gridCol w:w="893"/>
      </w:tblGrid>
      <w:tr>
        <w:tblPrEx>
          <w:tblCellMar>
            <w:top w:w="0" w:type="dxa"/>
            <w:left w:w="108" w:type="dxa"/>
            <w:bottom w:w="0" w:type="dxa"/>
            <w:right w:w="108" w:type="dxa"/>
          </w:tblCellMar>
        </w:tblPrEx>
        <w:trPr>
          <w:trHeight w:val="420" w:hRule="atLeast"/>
          <w:jc w:val="center"/>
        </w:trPr>
        <w:tc>
          <w:tcPr>
            <w:tcW w:w="10476"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356"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22"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811"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667"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000"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20"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3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8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2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车辆购置税收入补助地方资金</w:t>
            </w:r>
          </w:p>
        </w:tc>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1,686.01</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主要用于重点公路、一般公路、国防公路、部队进出口道路等项目建设</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时效指标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按期完成投资</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生态效益指标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交通建设符合环评审批要求</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12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改善通行服务水平群众满意度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财政衔接推进乡村振兴补助资金项目</w:t>
            </w:r>
          </w:p>
        </w:tc>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400.00</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推进乡村振兴，加快农村公路建设。</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资金使用合规性</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公路安全水平</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92</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12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改善通行服务水平群众满意度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r>
        <w:tblPrEx>
          <w:tblCellMar>
            <w:top w:w="0" w:type="dxa"/>
            <w:left w:w="108" w:type="dxa"/>
            <w:bottom w:w="0" w:type="dxa"/>
            <w:right w:w="108" w:type="dxa"/>
          </w:tblCellMar>
        </w:tblPrEx>
        <w:trPr>
          <w:trHeight w:val="1400" w:hRule="atLeast"/>
          <w:jc w:val="center"/>
        </w:trPr>
        <w:tc>
          <w:tcPr>
            <w:tcW w:w="12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2023年公交卡、老年卡、学生卡补助</w:t>
            </w:r>
          </w:p>
        </w:tc>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20.00</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　便利老百姓的出行，降低出行成本，保障出行安全，降低交通事故带来的一系列社会问题。</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保障安全出行，降低了交通事故带来的风险</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老百姓受益率高，社会稳定</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老百姓对公交卡的使用程度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2023年“冷线”营运补贴</w:t>
            </w:r>
          </w:p>
        </w:tc>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30.00</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对城关镇冷线营运补贴</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“冷线”营运使用率</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经济效益指标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补贴线路收入</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10000</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w:t>
            </w:r>
          </w:p>
        </w:tc>
      </w:tr>
      <w:tr>
        <w:tblPrEx>
          <w:tblCellMar>
            <w:top w:w="0" w:type="dxa"/>
            <w:left w:w="108" w:type="dxa"/>
            <w:bottom w:w="0" w:type="dxa"/>
            <w:right w:w="108" w:type="dxa"/>
          </w:tblCellMar>
        </w:tblPrEx>
        <w:trPr>
          <w:trHeight w:val="84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2023年局业务补助经费</w:t>
            </w:r>
          </w:p>
        </w:tc>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15.00</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业务补助经费，保证单位工作正常运转。</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日常培训合格率</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112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可持续影响指标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规范业务流程，提高工作效率</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群众对日常工作的受益程度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2023年综合业务工作经费</w:t>
            </w:r>
          </w:p>
        </w:tc>
        <w:tc>
          <w:tcPr>
            <w:tcW w:w="12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29.00</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工作运行经费，保障交通工作的正常进行</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质量指标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办公用品支出情况</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交通工作带来的社会效益</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w:t>
            </w:r>
          </w:p>
        </w:tc>
      </w:tr>
      <w:tr>
        <w:tblPrEx>
          <w:tblCellMar>
            <w:top w:w="0" w:type="dxa"/>
            <w:left w:w="108" w:type="dxa"/>
            <w:bottom w:w="0" w:type="dxa"/>
            <w:right w:w="108" w:type="dxa"/>
          </w:tblCellMar>
        </w:tblPrEx>
        <w:trPr>
          <w:trHeight w:val="840" w:hRule="atLeast"/>
          <w:jc w:val="center"/>
        </w:trPr>
        <w:tc>
          <w:tcPr>
            <w:tcW w:w="12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帮扶对象满意度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优良中低差</w:t>
            </w:r>
          </w:p>
        </w:tc>
        <w:tc>
          <w:tcPr>
            <w:tcW w:w="8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湟源县农村公路养护中心</w:t>
      </w:r>
    </w:p>
    <w:tbl>
      <w:tblPr>
        <w:tblStyle w:val="5"/>
        <w:tblW w:w="10473" w:type="dxa"/>
        <w:jc w:val="center"/>
        <w:tblLayout w:type="fixed"/>
        <w:tblCellMar>
          <w:top w:w="0" w:type="dxa"/>
          <w:left w:w="108" w:type="dxa"/>
          <w:bottom w:w="0" w:type="dxa"/>
          <w:right w:w="108" w:type="dxa"/>
        </w:tblCellMar>
      </w:tblPr>
      <w:tblGrid>
        <w:gridCol w:w="1271"/>
        <w:gridCol w:w="1233"/>
        <w:gridCol w:w="1956"/>
        <w:gridCol w:w="811"/>
        <w:gridCol w:w="755"/>
        <w:gridCol w:w="1656"/>
        <w:gridCol w:w="911"/>
        <w:gridCol w:w="967"/>
        <w:gridCol w:w="913"/>
      </w:tblGrid>
      <w:tr>
        <w:tblPrEx>
          <w:tblCellMar>
            <w:top w:w="0" w:type="dxa"/>
            <w:left w:w="108" w:type="dxa"/>
            <w:bottom w:w="0" w:type="dxa"/>
            <w:right w:w="108" w:type="dxa"/>
          </w:tblCellMar>
        </w:tblPrEx>
        <w:trPr>
          <w:trHeight w:val="420" w:hRule="atLeast"/>
          <w:jc w:val="center"/>
        </w:trPr>
        <w:tc>
          <w:tcPr>
            <w:tcW w:w="10473"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460"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11"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755"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656"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11"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80"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2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9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2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农村公路养护资金</w:t>
            </w:r>
          </w:p>
        </w:tc>
        <w:tc>
          <w:tcPr>
            <w:tcW w:w="12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184.75</w:t>
            </w:r>
          </w:p>
        </w:tc>
        <w:tc>
          <w:tcPr>
            <w:tcW w:w="19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承担全县农村公路的日常养护及维修</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数量指标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农村公路列养率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社会效益指标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公路畅通及安全水平</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196</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农牧民群众满意度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12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政府还贷二级公路取消收费后补助资金</w:t>
            </w:r>
          </w:p>
        </w:tc>
        <w:tc>
          <w:tcPr>
            <w:tcW w:w="12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385.44</w:t>
            </w:r>
          </w:p>
        </w:tc>
        <w:tc>
          <w:tcPr>
            <w:tcW w:w="19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保持公路基础设施良好技术状况水平</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数量指标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支持农村公路实施修复养护里程</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18.172</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千米</w:t>
            </w:r>
          </w:p>
        </w:tc>
      </w:tr>
      <w:tr>
        <w:tblPrEx>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经济效益指标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对经济发展的促进作用</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农牧民群众满意度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农村公路养护资金县级补助</w:t>
            </w:r>
          </w:p>
        </w:tc>
        <w:tc>
          <w:tcPr>
            <w:tcW w:w="12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123.15</w:t>
            </w:r>
          </w:p>
        </w:tc>
        <w:tc>
          <w:tcPr>
            <w:tcW w:w="19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农村公路及道路的养护及维修，对养护工作的督促检查，对农村公路的监管养护。</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数量指标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农村公路列养率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优良路率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64</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质量指标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资金使用合规性</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40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经济效益指标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按期完成投资，对经济发展有明显促进作用</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农牧民群众满意度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乡村道路维修费</w:t>
            </w:r>
          </w:p>
        </w:tc>
        <w:tc>
          <w:tcPr>
            <w:tcW w:w="12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14.85</w:t>
            </w:r>
          </w:p>
        </w:tc>
        <w:tc>
          <w:tcPr>
            <w:tcW w:w="19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农村公路维修，抢险保通，冬季除雪维修等</w:t>
            </w: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数量指标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农村公路列养率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优良路率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64</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12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建设(改造、修缮)工程量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平方米/公里</w:t>
            </w:r>
          </w:p>
        </w:tc>
      </w:tr>
      <w:tr>
        <w:tblPrEx>
          <w:tblCellMar>
            <w:top w:w="0" w:type="dxa"/>
            <w:left w:w="108" w:type="dxa"/>
            <w:bottom w:w="0" w:type="dxa"/>
            <w:right w:w="108" w:type="dxa"/>
          </w:tblCellMar>
        </w:tblPrEx>
        <w:trPr>
          <w:trHeight w:val="112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建设(改造、修缮)工程数量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质量指标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资金使用合规性</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竣工验收合格率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项目设计变更率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75</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时效指标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项目按计划完工率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项目按计划开工率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社会效益指标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设施正常运转率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项目受益人数</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850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建筑（工程）综合利用率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受益群体满意度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cs="宋体"/>
                <w:color w:val="000000"/>
                <w:sz w:val="22"/>
                <w:szCs w:val="22"/>
              </w:rPr>
            </w:pPr>
          </w:p>
        </w:tc>
        <w:tc>
          <w:tcPr>
            <w:tcW w:w="7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农牧民群众满意度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2023年养护业务补助经费</w:t>
            </w:r>
          </w:p>
        </w:tc>
        <w:tc>
          <w:tcPr>
            <w:tcW w:w="12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22</w:t>
            </w:r>
            <w:r>
              <w:rPr>
                <w:rFonts w:hint="eastAsia" w:ascii="宋体" w:hAnsi="宋体" w:cs="宋体"/>
                <w:color w:val="000000"/>
                <w:kern w:val="0"/>
                <w:sz w:val="22"/>
                <w:szCs w:val="22"/>
                <w:lang w:bidi="ar"/>
              </w:rPr>
              <w:t>.00</w:t>
            </w:r>
          </w:p>
        </w:tc>
        <w:tc>
          <w:tcPr>
            <w:tcW w:w="19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确保养护工作顺利进行，确保养护人员权益</w:t>
            </w: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质量指标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单位日常业务正常运转率</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社会效益指标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群众出行便利度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23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服务对象满意度指标</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群众满意度</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湟源县公路工程质量监督所</w:t>
      </w:r>
    </w:p>
    <w:tbl>
      <w:tblPr>
        <w:tblStyle w:val="5"/>
        <w:tblW w:w="10541" w:type="dxa"/>
        <w:jc w:val="center"/>
        <w:tblLayout w:type="fixed"/>
        <w:tblCellMar>
          <w:top w:w="0" w:type="dxa"/>
          <w:left w:w="108" w:type="dxa"/>
          <w:bottom w:w="0" w:type="dxa"/>
          <w:right w:w="108" w:type="dxa"/>
        </w:tblCellMar>
      </w:tblPr>
      <w:tblGrid>
        <w:gridCol w:w="1471"/>
        <w:gridCol w:w="1123"/>
        <w:gridCol w:w="2033"/>
        <w:gridCol w:w="833"/>
        <w:gridCol w:w="711"/>
        <w:gridCol w:w="1634"/>
        <w:gridCol w:w="922"/>
        <w:gridCol w:w="889"/>
        <w:gridCol w:w="925"/>
      </w:tblGrid>
      <w:tr>
        <w:tblPrEx>
          <w:tblCellMar>
            <w:top w:w="0" w:type="dxa"/>
            <w:left w:w="108" w:type="dxa"/>
            <w:bottom w:w="0" w:type="dxa"/>
            <w:right w:w="108" w:type="dxa"/>
          </w:tblCellMar>
        </w:tblPrEx>
        <w:trPr>
          <w:trHeight w:val="420" w:hRule="atLeast"/>
          <w:jc w:val="center"/>
        </w:trPr>
        <w:tc>
          <w:tcPr>
            <w:tcW w:w="10541"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627"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3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11"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634"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22"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14"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农村公路建设项目质量监督业务经费</w:t>
            </w:r>
          </w:p>
        </w:tc>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2.00</w:t>
            </w:r>
          </w:p>
        </w:tc>
        <w:tc>
          <w:tcPr>
            <w:tcW w:w="2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农村公路建设项目质量监督业务经费，提高办公效率</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数量指标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购买仪器设备费用</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2000</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元</w:t>
            </w:r>
          </w:p>
        </w:tc>
      </w:tr>
      <w:tr>
        <w:tblPrEx>
          <w:tblCellMar>
            <w:top w:w="0" w:type="dxa"/>
            <w:left w:w="108" w:type="dxa"/>
            <w:bottom w:w="0" w:type="dxa"/>
            <w:right w:w="108" w:type="dxa"/>
          </w:tblCellMar>
        </w:tblPrEx>
        <w:trPr>
          <w:trHeight w:val="840"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社会效益指标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人民群众享受安全保障</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好坏</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w:t>
            </w:r>
          </w:p>
        </w:tc>
      </w:tr>
      <w:tr>
        <w:tblPrEx>
          <w:tblCellMar>
            <w:top w:w="0" w:type="dxa"/>
            <w:left w:w="108" w:type="dxa"/>
            <w:bottom w:w="0" w:type="dxa"/>
            <w:right w:w="108" w:type="dxa"/>
          </w:tblCellMar>
        </w:tblPrEx>
        <w:trPr>
          <w:trHeight w:val="1400" w:hRule="atLeast"/>
          <w:jc w:val="center"/>
        </w:trPr>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服务对象满意度指标</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lang w:bidi="ar"/>
              </w:rPr>
              <w:t>人民群众享受公路安全带来的满意程度</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好坏</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人（户）</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湟源县交通运输综合行政执法大队</w:t>
      </w:r>
    </w:p>
    <w:tbl>
      <w:tblPr>
        <w:tblStyle w:val="5"/>
        <w:tblW w:w="10351" w:type="dxa"/>
        <w:jc w:val="center"/>
        <w:tblLayout w:type="fixed"/>
        <w:tblCellMar>
          <w:top w:w="0" w:type="dxa"/>
          <w:left w:w="108" w:type="dxa"/>
          <w:bottom w:w="0" w:type="dxa"/>
          <w:right w:w="108" w:type="dxa"/>
        </w:tblCellMar>
      </w:tblPr>
      <w:tblGrid>
        <w:gridCol w:w="1421"/>
        <w:gridCol w:w="1089"/>
        <w:gridCol w:w="2009"/>
        <w:gridCol w:w="802"/>
        <w:gridCol w:w="789"/>
        <w:gridCol w:w="1376"/>
        <w:gridCol w:w="955"/>
        <w:gridCol w:w="955"/>
        <w:gridCol w:w="955"/>
      </w:tblGrid>
      <w:tr>
        <w:tblPrEx>
          <w:tblCellMar>
            <w:top w:w="0" w:type="dxa"/>
            <w:left w:w="108" w:type="dxa"/>
            <w:bottom w:w="0" w:type="dxa"/>
            <w:right w:w="108" w:type="dxa"/>
          </w:tblCellMar>
        </w:tblPrEx>
        <w:trPr>
          <w:trHeight w:val="420" w:hRule="atLeast"/>
          <w:jc w:val="center"/>
        </w:trPr>
        <w:tc>
          <w:tcPr>
            <w:tcW w:w="10351"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519"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802"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789"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376"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55"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910"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42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200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29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2023年综合执法办案经费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15.00</w:t>
            </w:r>
          </w:p>
        </w:tc>
        <w:tc>
          <w:tcPr>
            <w:tcW w:w="20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主要用于查办交通案件相关的开支，包括执法业务费、培训费、专项器具费、各类执法信息系统的维护等。</w:t>
            </w: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质量指标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查办交通案件</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件</w:t>
            </w:r>
          </w:p>
        </w:tc>
      </w:tr>
      <w:tr>
        <w:tblPrEx>
          <w:tblCellMar>
            <w:top w:w="0" w:type="dxa"/>
            <w:left w:w="108" w:type="dxa"/>
            <w:bottom w:w="0" w:type="dxa"/>
            <w:right w:w="108" w:type="dxa"/>
          </w:tblCellMar>
        </w:tblPrEx>
        <w:trPr>
          <w:trHeight w:val="56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社会效益指标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查办交通案件</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服务对象满意度指标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交通案件办理群众满意度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2023年治超经费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0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督导源头企业严格落实治超主体责任，规范装载。 严厉打击整治超限超载车辆上路行驶行为，消除安全隐患，保护公路路产路权及人民群众的生命财产安全。</w:t>
            </w: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质量指标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路面治理公里数</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公里</w:t>
            </w:r>
          </w:p>
        </w:tc>
      </w:tr>
      <w:tr>
        <w:tblPrEx>
          <w:tblCellMar>
            <w:top w:w="0" w:type="dxa"/>
            <w:left w:w="108" w:type="dxa"/>
            <w:bottom w:w="0" w:type="dxa"/>
            <w:right w:w="108" w:type="dxa"/>
          </w:tblCellMar>
        </w:tblPrEx>
        <w:trPr>
          <w:trHeight w:val="56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社会效益指标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源头治超企业数</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户</w:t>
            </w:r>
          </w:p>
        </w:tc>
      </w:tr>
      <w:tr>
        <w:tblPrEx>
          <w:tblCellMar>
            <w:top w:w="0" w:type="dxa"/>
            <w:left w:w="108" w:type="dxa"/>
            <w:bottom w:w="0" w:type="dxa"/>
            <w:right w:w="108" w:type="dxa"/>
          </w:tblCellMar>
        </w:tblPrEx>
        <w:trPr>
          <w:trHeight w:val="84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服务对象满意度指标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群众对治超工作满意度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2023年执法车辆经费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20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为交通运输综合行政执法工作提供基础保障，提高执法车辆安全系数，保障执法车辆的保险、燃油、维修等各项基本开支，确保执法车辆能够切实有效发挥作用，更好的保护路权路权以及人民群众的生命财产安全和合法权益。</w:t>
            </w: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数量指标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6辆执法车辆费用</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辆</w:t>
            </w:r>
          </w:p>
        </w:tc>
      </w:tr>
      <w:tr>
        <w:tblPrEx>
          <w:tblCellMar>
            <w:top w:w="0" w:type="dxa"/>
            <w:left w:w="108" w:type="dxa"/>
            <w:bottom w:w="0" w:type="dxa"/>
            <w:right w:w="108" w:type="dxa"/>
          </w:tblCellMar>
        </w:tblPrEx>
        <w:trPr>
          <w:trHeight w:val="84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社会效益指标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工作带来的社会效益</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服务对象满意度指标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群众满意度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道路运输档案管理及工本费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3.00</w:t>
            </w:r>
          </w:p>
        </w:tc>
        <w:tc>
          <w:tcPr>
            <w:tcW w:w="20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健全道路货物运输车辆及从业人员档案，完善各类台账，做到有据可查，有法必依。</w:t>
            </w: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数量指标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健全台账、档案</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件</w:t>
            </w:r>
          </w:p>
        </w:tc>
      </w:tr>
      <w:tr>
        <w:tblPrEx>
          <w:tblCellMar>
            <w:top w:w="0" w:type="dxa"/>
            <w:left w:w="108" w:type="dxa"/>
            <w:bottom w:w="0" w:type="dxa"/>
            <w:right w:w="108" w:type="dxa"/>
          </w:tblCellMar>
        </w:tblPrEx>
        <w:trPr>
          <w:trHeight w:val="56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社会效益指标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开展执法教育</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定性</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优良</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1120" w:hRule="atLeast"/>
          <w:jc w:val="center"/>
        </w:trPr>
        <w:tc>
          <w:tcPr>
            <w:tcW w:w="14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服务对象满意度指标</w:t>
            </w:r>
          </w:p>
        </w:tc>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7"/>
                <w:rFonts w:hint="default"/>
                <w:lang w:bidi="ar"/>
              </w:rPr>
              <w:t>社会公众对相关法规宣传的满意度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（三）社会保障和就业支出（类）行政事业单位养老支出（款）其他行政事业单位养老支出（项）: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（四）社会保障和就业支出（类）其他社会保障和就业支出（款）其他社会保障和就业支出（项）: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（五）卫生健康支出（类）行政事业单位医疗（款）行政单位医疗（项）: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（六）卫生健康支出（类）行政事业单位医疗（款）事业单位医疗（项）: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（七）卫生健康支出（类）行政事业单位医疗（款）公务员医疗补助（项）: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sz w:val="32"/>
          <w:szCs w:val="32"/>
        </w:rPr>
      </w:pPr>
      <w:r>
        <w:rPr>
          <w:rFonts w:hint="eastAsia" w:ascii="仿宋_GB2312" w:eastAsia="仿宋_GB2312"/>
          <w:b/>
          <w:bCs/>
          <w:sz w:val="32"/>
          <w:szCs w:val="32"/>
        </w:rPr>
        <w:t>（八）农林水支出（类）巩固脱贫攻坚成果衔接乡村振兴（款）其他巩固脱贫攻坚成果衔接乡村振兴支出（项）:</w:t>
      </w:r>
      <w:r>
        <w:rPr>
          <w:rFonts w:hint="eastAsia" w:ascii="仿宋_GB2312" w:eastAsia="仿宋_GB2312"/>
          <w:sz w:val="32"/>
          <w:szCs w:val="32"/>
        </w:rPr>
        <w:t>反映除上述项目以外其他用于巩固拓展脱贫攻坚成果同乡村振兴有效衔接方面的支出。</w:t>
      </w:r>
    </w:p>
    <w:p>
      <w:pPr>
        <w:ind w:firstLine="643" w:firstLineChars="200"/>
        <w:rPr>
          <w:rFonts w:ascii="仿宋_GB2312" w:eastAsia="仿宋_GB2312"/>
          <w:sz w:val="32"/>
          <w:szCs w:val="32"/>
        </w:rPr>
      </w:pPr>
      <w:r>
        <w:rPr>
          <w:rFonts w:hint="eastAsia" w:ascii="仿宋_GB2312" w:eastAsia="仿宋_GB2312"/>
          <w:b/>
          <w:bCs/>
          <w:sz w:val="32"/>
          <w:szCs w:val="32"/>
        </w:rPr>
        <w:t>（九）交通运输支出（类）公路水路运输（款）行政运行（项）:</w:t>
      </w:r>
      <w:r>
        <w:rPr>
          <w:rFonts w:hint="eastAsia" w:ascii="仿宋_GB2312" w:eastAsia="仿宋_GB2312"/>
          <w:sz w:val="32"/>
          <w:szCs w:val="32"/>
        </w:rPr>
        <w:t>反映行政单位（包括实行公务员管理的事业单位）的基本支出。</w:t>
      </w:r>
    </w:p>
    <w:p>
      <w:pPr>
        <w:ind w:firstLine="643" w:firstLineChars="200"/>
        <w:rPr>
          <w:rFonts w:ascii="仿宋_GB2312" w:eastAsia="仿宋_GB2312"/>
          <w:sz w:val="32"/>
          <w:szCs w:val="32"/>
        </w:rPr>
      </w:pPr>
      <w:r>
        <w:rPr>
          <w:rFonts w:hint="eastAsia" w:ascii="仿宋_GB2312" w:eastAsia="仿宋_GB2312"/>
          <w:b/>
          <w:bCs/>
          <w:sz w:val="32"/>
          <w:szCs w:val="32"/>
        </w:rPr>
        <w:t>（十）交通运输支出（类）公路水路运输（款）公路养护（项）:</w:t>
      </w:r>
      <w:r>
        <w:rPr>
          <w:rFonts w:hint="eastAsia" w:ascii="仿宋_GB2312" w:eastAsia="仿宋_GB2312"/>
          <w:sz w:val="32"/>
          <w:szCs w:val="32"/>
        </w:rPr>
        <w:t>反映公路养护支出。</w:t>
      </w:r>
    </w:p>
    <w:p>
      <w:pPr>
        <w:ind w:firstLine="643" w:firstLineChars="200"/>
        <w:rPr>
          <w:rFonts w:ascii="仿宋_GB2312" w:eastAsia="仿宋_GB2312"/>
          <w:sz w:val="32"/>
          <w:szCs w:val="32"/>
        </w:rPr>
      </w:pPr>
      <w:r>
        <w:rPr>
          <w:rFonts w:hint="eastAsia" w:ascii="仿宋_GB2312" w:eastAsia="仿宋_GB2312"/>
          <w:b/>
          <w:bCs/>
          <w:sz w:val="32"/>
          <w:szCs w:val="32"/>
        </w:rPr>
        <w:t>（十一)交通运输支出（类）公路水路运输（款）公路运输管理（项）:</w:t>
      </w:r>
      <w:r>
        <w:rPr>
          <w:rFonts w:hint="eastAsia" w:ascii="仿宋_GB2312" w:eastAsia="仿宋_GB2312"/>
          <w:sz w:val="32"/>
          <w:szCs w:val="32"/>
        </w:rPr>
        <w:t>反映公路运输管理支出和公路路政管理支出。</w:t>
      </w:r>
    </w:p>
    <w:p>
      <w:pPr>
        <w:ind w:firstLine="643" w:firstLineChars="200"/>
        <w:rPr>
          <w:rFonts w:ascii="仿宋_GB2312" w:eastAsia="仿宋_GB2312"/>
          <w:sz w:val="32"/>
          <w:szCs w:val="32"/>
        </w:rPr>
      </w:pPr>
      <w:r>
        <w:rPr>
          <w:rFonts w:hint="eastAsia" w:ascii="仿宋_GB2312" w:eastAsia="仿宋_GB2312"/>
          <w:b/>
          <w:bCs/>
          <w:sz w:val="32"/>
          <w:szCs w:val="32"/>
        </w:rPr>
        <w:t>（十二）交通运输支出（类）公路水路运输（款）其他公路水路运输支出（项）:</w:t>
      </w:r>
      <w:r>
        <w:rPr>
          <w:rFonts w:hint="eastAsia" w:ascii="仿宋_GB2312" w:eastAsia="仿宋_GB2312"/>
          <w:sz w:val="32"/>
          <w:szCs w:val="32"/>
        </w:rPr>
        <w:t>反映除上述项目以外其他用于公路水路运输方面的支出。</w:t>
      </w:r>
    </w:p>
    <w:p>
      <w:pPr>
        <w:ind w:firstLine="643" w:firstLineChars="200"/>
        <w:rPr>
          <w:rFonts w:ascii="仿宋_GB2312" w:eastAsia="仿宋_GB2312"/>
          <w:sz w:val="32"/>
          <w:szCs w:val="32"/>
        </w:rPr>
      </w:pPr>
      <w:r>
        <w:rPr>
          <w:rFonts w:hint="eastAsia" w:ascii="仿宋_GB2312" w:eastAsia="仿宋_GB2312"/>
          <w:b/>
          <w:bCs/>
          <w:sz w:val="32"/>
          <w:szCs w:val="32"/>
        </w:rPr>
        <w:t>（十三）交通运输支出（类）车辆购置税支出（款）车辆购置税用于农村公路建设支出（项）:</w:t>
      </w:r>
      <w:r>
        <w:rPr>
          <w:rFonts w:hint="eastAsia" w:ascii="仿宋_GB2312" w:eastAsia="仿宋_GB2312"/>
          <w:sz w:val="32"/>
          <w:szCs w:val="32"/>
        </w:rPr>
        <w:t>反映车辆购置税收入安排用于农村公路建设的支出。</w:t>
      </w:r>
    </w:p>
    <w:p>
      <w:pPr>
        <w:ind w:firstLine="643" w:firstLineChars="200"/>
        <w:rPr>
          <w:rFonts w:ascii="仿宋_GB2312" w:eastAsia="仿宋_GB2312"/>
          <w:sz w:val="32"/>
          <w:szCs w:val="32"/>
        </w:rPr>
      </w:pPr>
      <w:r>
        <w:rPr>
          <w:rFonts w:hint="eastAsia" w:ascii="仿宋_GB2312" w:eastAsia="仿宋_GB2312"/>
          <w:b/>
          <w:bCs/>
          <w:sz w:val="32"/>
          <w:szCs w:val="32"/>
        </w:rPr>
        <w:t>（十四）住房保障支出（类）住房改革支出（款）住房公积金（项）: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5A41"/>
    <w:rsid w:val="0033793A"/>
    <w:rsid w:val="003521E5"/>
    <w:rsid w:val="00355008"/>
    <w:rsid w:val="00356191"/>
    <w:rsid w:val="00356B67"/>
    <w:rsid w:val="003675C2"/>
    <w:rsid w:val="00371966"/>
    <w:rsid w:val="003769CA"/>
    <w:rsid w:val="00376E07"/>
    <w:rsid w:val="003775AF"/>
    <w:rsid w:val="00380BE9"/>
    <w:rsid w:val="00387F87"/>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07AE"/>
    <w:rsid w:val="005342B6"/>
    <w:rsid w:val="00536678"/>
    <w:rsid w:val="00537A9E"/>
    <w:rsid w:val="00547194"/>
    <w:rsid w:val="00550008"/>
    <w:rsid w:val="005509A1"/>
    <w:rsid w:val="00562862"/>
    <w:rsid w:val="0057108E"/>
    <w:rsid w:val="00572779"/>
    <w:rsid w:val="00573B36"/>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5A85"/>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3183"/>
    <w:rsid w:val="00A450BF"/>
    <w:rsid w:val="00A63467"/>
    <w:rsid w:val="00A641F5"/>
    <w:rsid w:val="00A67367"/>
    <w:rsid w:val="00A72800"/>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D5575"/>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078E"/>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0DA5"/>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93C20"/>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0E34F2"/>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DD788E"/>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5755C"/>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1F1771B"/>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826E4"/>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76B50"/>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14074"/>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A45614"/>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983843"/>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227D85"/>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0C4CD2"/>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71055"/>
    <w:rsid w:val="7F2839F3"/>
    <w:rsid w:val="7F3E1EFB"/>
    <w:rsid w:val="7F463BFE"/>
    <w:rsid w:val="7F601E71"/>
    <w:rsid w:val="7F631C62"/>
    <w:rsid w:val="7F6C2F0C"/>
    <w:rsid w:val="7F9B559F"/>
    <w:rsid w:val="7FAB0A9C"/>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link w:val="2"/>
    <w:semiHidden/>
    <w:qFormat/>
    <w:uiPriority w:val="99"/>
    <w:rPr>
      <w:rFonts w:ascii="Times New Roman" w:hAnsi="Times New Roman"/>
      <w:kern w:val="2"/>
      <w:sz w:val="18"/>
      <w:szCs w:val="18"/>
    </w:rPr>
  </w:style>
  <w:style w:type="character" w:customStyle="1" w:styleId="9">
    <w:name w:val="页脚 字符"/>
    <w:link w:val="3"/>
    <w:qFormat/>
    <w:uiPriority w:val="99"/>
    <w:rPr>
      <w:rFonts w:ascii="Times New Roman" w:hAnsi="Times New Roman"/>
      <w:kern w:val="2"/>
      <w:sz w:val="18"/>
      <w:szCs w:val="18"/>
    </w:rPr>
  </w:style>
  <w:style w:type="character" w:customStyle="1" w:styleId="10">
    <w:name w:val="页眉 字符"/>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字符"/>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01"/>
    <w:basedOn w:val="6"/>
    <w:qFormat/>
    <w:uiPriority w:val="0"/>
    <w:rPr>
      <w:rFonts w:hint="eastAsia" w:ascii="宋体" w:hAnsi="宋体" w:eastAsia="宋体" w:cs="宋体"/>
      <w:color w:val="000000"/>
      <w:sz w:val="22"/>
      <w:szCs w:val="22"/>
      <w:u w:val="none"/>
    </w:rPr>
  </w:style>
  <w:style w:type="character" w:customStyle="1" w:styleId="16">
    <w:name w:val="font71"/>
    <w:basedOn w:val="6"/>
    <w:qFormat/>
    <w:uiPriority w:val="0"/>
    <w:rPr>
      <w:rFonts w:hint="eastAsia" w:ascii="宋体" w:hAnsi="宋体" w:eastAsia="宋体" w:cs="宋体"/>
      <w:color w:val="000000"/>
      <w:sz w:val="22"/>
      <w:szCs w:val="22"/>
      <w:u w:val="none"/>
    </w:rPr>
  </w:style>
  <w:style w:type="character" w:customStyle="1" w:styleId="17">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10241</Words>
  <Characters>12517</Characters>
  <Lines>106</Lines>
  <Paragraphs>29</Paragraphs>
  <TotalTime>1</TotalTime>
  <ScaleCrop>false</ScaleCrop>
  <LinksUpToDate>false</LinksUpToDate>
  <CharactersWithSpaces>12645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2023-06-05T09:45:00Z</dcterms:created>
  <dc:creator>王炜(部门内部人)</dc:creator>
  <cp:lastModifiedBy>大琹</cp:lastModifiedBy>
  <cp:lastPrinted>2021-01-31T19:43:00Z</cp:lastPrinted>
  <dcterms:modified xsi:type="dcterms:W3CDTF">2023-06-08T08:44:29Z</dcterms:modified>
  <dc:title>×××部门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7B7DE5282B764104B957A8BCAF4CC36D_13</vt:lpwstr>
  </property>
</Properties>
</file>