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湟源县湟海渠管理所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hint="eastAsia" w:ascii="黑体" w:eastAsia="黑体"/>
          <w:color w:val="000000"/>
          <w:sz w:val="30"/>
          <w:szCs w:val="30"/>
        </w:rPr>
      </w:pPr>
    </w:p>
    <w:p>
      <w:pPr>
        <w:spacing w:line="360" w:lineRule="auto"/>
        <w:ind w:firstLine="636" w:firstLineChars="19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主要</w:t>
      </w:r>
      <w:r>
        <w:rPr>
          <w:rFonts w:hint="eastAsia" w:ascii="黑体" w:hAnsi="黑体" w:eastAsia="黑体" w:cs="黑体"/>
          <w:sz w:val="32"/>
          <w:szCs w:val="32"/>
        </w:rPr>
        <w:t>职</w:t>
      </w:r>
      <w:r>
        <w:rPr>
          <w:rFonts w:hint="eastAsia" w:ascii="黑体" w:hAnsi="黑体" w:eastAsia="黑体" w:cs="黑体"/>
          <w:sz w:val="32"/>
          <w:szCs w:val="32"/>
          <w:lang w:val="en-US" w:eastAsia="zh-CN"/>
        </w:rPr>
        <w:t>能</w:t>
      </w:r>
    </w:p>
    <w:p>
      <w:pPr>
        <w:spacing w:line="360" w:lineRule="auto"/>
        <w:ind w:firstLine="636" w:firstLineChars="199"/>
        <w:rPr>
          <w:rFonts w:hint="eastAsia" w:ascii="仿宋_GB2312" w:hAnsi="仿宋" w:eastAsia="仿宋_GB2312" w:cs="仿宋"/>
          <w:sz w:val="32"/>
          <w:szCs w:val="32"/>
        </w:rPr>
      </w:pPr>
      <w:r>
        <w:rPr>
          <w:rFonts w:hint="eastAsia" w:ascii="仿宋_GB2312" w:hAnsi="仿宋" w:eastAsia="仿宋_GB2312" w:cs="仿宋"/>
          <w:sz w:val="32"/>
          <w:szCs w:val="32"/>
        </w:rPr>
        <w:t>承担辖区内水利设施及河道的管护工作 ；承担流域内乡镇的节水灌溉和人畜饮水工作。</w:t>
      </w:r>
    </w:p>
    <w:p>
      <w:pPr>
        <w:adjustRightInd w:val="0"/>
        <w:snapToGrid w:val="0"/>
        <w:spacing w:line="560" w:lineRule="exact"/>
        <w:ind w:firstLine="640" w:firstLineChars="200"/>
        <w:rPr>
          <w:rFonts w:hint="eastAsia" w:ascii="黑体" w:hAnsi="宋体" w:eastAsia="黑体"/>
          <w:color w:val="000000"/>
          <w:sz w:val="32"/>
          <w:szCs w:val="32"/>
          <w:lang w:val="en-US" w:eastAsia="zh-CN"/>
        </w:rPr>
      </w:pPr>
      <w:r>
        <w:rPr>
          <w:rFonts w:hint="eastAsia" w:ascii="黑体" w:hAnsi="宋体" w:eastAsia="黑体"/>
          <w:color w:val="000000"/>
          <w:sz w:val="32"/>
          <w:szCs w:val="32"/>
          <w:lang w:val="en-US" w:eastAsia="zh-CN"/>
        </w:rPr>
        <w:t>二、机构设置</w:t>
      </w:r>
    </w:p>
    <w:p>
      <w:pPr>
        <w:spacing w:line="360" w:lineRule="auto"/>
        <w:ind w:firstLine="636" w:firstLineChars="199"/>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共有机构数1个，属二级单位，湟海渠管理所编制为14人，实有13人，空编1人。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、部门预算单位构成</w:t>
      </w:r>
    </w:p>
    <w:p>
      <w:pPr>
        <w:spacing w:line="360" w:lineRule="auto"/>
        <w:ind w:firstLine="636" w:firstLineChars="199"/>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纳入湟源县湟海渠管理所2023年部门预算编制范围的二级预算单位包括：</w:t>
      </w:r>
    </w:p>
    <w:tbl>
      <w:tblPr>
        <w:tblStyle w:val="8"/>
        <w:tblpPr w:leftFromText="180" w:rightFromText="180" w:vertAnchor="text" w:horzAnchor="page" w:tblpX="2277" w:tblpY="36"/>
        <w:tblOverlap w:val="never"/>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spacing w:line="360" w:lineRule="auto"/>
        <w:ind w:firstLine="636" w:firstLineChars="199"/>
        <w:rPr>
          <w:rFonts w:hint="default" w:ascii="仿宋_GB2312" w:hAnsi="仿宋" w:eastAsia="仿宋_GB2312" w:cs="仿宋"/>
          <w:sz w:val="32"/>
          <w:szCs w:val="32"/>
          <w:lang w:val="en-US" w:eastAsia="zh-CN"/>
        </w:rPr>
      </w:pPr>
    </w:p>
    <w:p>
      <w:pPr>
        <w:pStyle w:val="7"/>
        <w:ind w:firstLine="320"/>
        <w:rPr>
          <w:rFonts w:hint="eastAsia" w:ascii="仿宋_GB2312" w:hAnsi="仿宋" w:eastAsia="仿宋_GB2312" w:cs="仿宋"/>
          <w:sz w:val="32"/>
          <w:szCs w:val="32"/>
        </w:rPr>
      </w:pPr>
    </w:p>
    <w:p>
      <w:pPr>
        <w:adjustRightInd w:val="0"/>
        <w:snapToGrid w:val="0"/>
        <w:spacing w:line="560" w:lineRule="exact"/>
        <w:ind w:firstLine="600" w:firstLineChars="200"/>
        <w:jc w:val="left"/>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47.90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250.80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126" w:type="dxa"/>
        <w:jc w:val="center"/>
        <w:tblLayout w:type="fixed"/>
        <w:tblCellMar>
          <w:top w:w="0" w:type="dxa"/>
          <w:left w:w="108" w:type="dxa"/>
          <w:bottom w:w="0" w:type="dxa"/>
          <w:right w:w="108" w:type="dxa"/>
        </w:tblCellMar>
      </w:tblPr>
      <w:tblGrid>
        <w:gridCol w:w="1210"/>
        <w:gridCol w:w="1030"/>
        <w:gridCol w:w="901"/>
        <w:gridCol w:w="863"/>
        <w:gridCol w:w="914"/>
        <w:gridCol w:w="914"/>
        <w:gridCol w:w="914"/>
        <w:gridCol w:w="914"/>
        <w:gridCol w:w="914"/>
        <w:gridCol w:w="914"/>
        <w:gridCol w:w="914"/>
        <w:gridCol w:w="724"/>
      </w:tblGrid>
      <w:tr>
        <w:tblPrEx>
          <w:tblCellMar>
            <w:top w:w="0" w:type="dxa"/>
            <w:left w:w="108" w:type="dxa"/>
            <w:bottom w:w="0" w:type="dxa"/>
            <w:right w:w="108" w:type="dxa"/>
          </w:tblCellMar>
        </w:tblPrEx>
        <w:trPr>
          <w:trHeight w:val="392" w:hRule="atLeast"/>
          <w:jc w:val="center"/>
        </w:trPr>
        <w:tc>
          <w:tcPr>
            <w:tcW w:w="1112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2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2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2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341.85</w:t>
            </w:r>
          </w:p>
        </w:tc>
        <w:tc>
          <w:tcPr>
            <w:tcW w:w="9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341.85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341.85</w:t>
            </w:r>
          </w:p>
        </w:tc>
        <w:tc>
          <w:tcPr>
            <w:tcW w:w="9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341.85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湟源县湟海渠管理所</w:t>
            </w: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341.85</w:t>
            </w:r>
          </w:p>
        </w:tc>
        <w:tc>
          <w:tcPr>
            <w:tcW w:w="9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341.85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13" w:type="dxa"/>
        <w:jc w:val="center"/>
        <w:tblLayout w:type="fixed"/>
        <w:tblCellMar>
          <w:top w:w="0" w:type="dxa"/>
          <w:left w:w="108" w:type="dxa"/>
          <w:bottom w:w="0" w:type="dxa"/>
          <w:right w:w="108" w:type="dxa"/>
        </w:tblCellMar>
      </w:tblPr>
      <w:tblGrid>
        <w:gridCol w:w="1100"/>
        <w:gridCol w:w="3757"/>
        <w:gridCol w:w="930"/>
        <w:gridCol w:w="1220"/>
        <w:gridCol w:w="1120"/>
        <w:gridCol w:w="1160"/>
        <w:gridCol w:w="880"/>
        <w:gridCol w:w="1046"/>
      </w:tblGrid>
      <w:tr>
        <w:tblPrEx>
          <w:tblCellMar>
            <w:top w:w="0" w:type="dxa"/>
            <w:left w:w="108" w:type="dxa"/>
            <w:bottom w:w="0" w:type="dxa"/>
            <w:right w:w="108" w:type="dxa"/>
          </w:tblCellMar>
        </w:tblPrEx>
        <w:trPr>
          <w:trHeight w:val="187" w:hRule="atLeast"/>
          <w:jc w:val="center"/>
        </w:trPr>
        <w:tc>
          <w:tcPr>
            <w:tcW w:w="1121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1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13"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8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341.85</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269.85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47.90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47.90</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47.03</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47.03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21.10</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10.55</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15.38</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0.87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13.24</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13.24</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9.88</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250.80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178.80</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250.80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178.80</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178.80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178.80</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72.00</w:t>
            </w: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9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2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1100"/>
        <w:gridCol w:w="2520"/>
        <w:gridCol w:w="1124"/>
        <w:gridCol w:w="114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6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6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5"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894"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52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2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4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341.85</w:t>
            </w: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341.85</w:t>
            </w: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47.90</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47.90</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23.12</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23.12</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250.80</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250.80</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20.03</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20.03</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00" w:type="dxa"/>
            <w:shd w:val="clear" w:color="auto" w:fill="FFFFFF"/>
            <w:noWrap/>
            <w:vAlign w:val="center"/>
          </w:tcPr>
          <w:p>
            <w:pPr>
              <w:widowControl/>
              <w:jc w:val="center"/>
              <w:rPr>
                <w:rFonts w:ascii="宋体" w:hAnsi="宋体" w:cs="宋体"/>
                <w:kern w:val="0"/>
                <w:sz w:val="20"/>
              </w:rPr>
            </w:pPr>
          </w:p>
        </w:tc>
        <w:tc>
          <w:tcPr>
            <w:tcW w:w="2520" w:type="dxa"/>
            <w:shd w:val="clear" w:color="auto" w:fill="FFFFFF"/>
            <w:noWrap/>
            <w:vAlign w:val="center"/>
          </w:tcPr>
          <w:p>
            <w:pPr>
              <w:widowControl/>
              <w:jc w:val="left"/>
              <w:rPr>
                <w:rFonts w:ascii="宋体" w:hAnsi="宋体" w:cs="宋体"/>
                <w:kern w:val="0"/>
                <w:sz w:val="20"/>
              </w:rPr>
            </w:pP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341.85</w:t>
            </w:r>
          </w:p>
        </w:tc>
        <w:tc>
          <w:tcPr>
            <w:tcW w:w="25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2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10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66"/>
        <w:gridCol w:w="1370"/>
        <w:gridCol w:w="1220"/>
        <w:gridCol w:w="140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21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9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21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341.85</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269.85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47.90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47.90</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47.03</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47.03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21.10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21.10</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10.55</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10.55</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15.38</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0.87</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0.87</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0.87</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0.87</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23.12</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23.12</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23.12</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13.24</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13.24</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9.88</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9.88</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250.80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178.80</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250.80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178.80</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178.80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178.80</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72.00</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20.03</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20.03</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20.03</w:t>
            </w:r>
          </w:p>
        </w:tc>
        <w:tc>
          <w:tcPr>
            <w:tcW w:w="122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20.03</w:t>
            </w:r>
          </w:p>
        </w:tc>
        <w:tc>
          <w:tcPr>
            <w:tcW w:w="14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3523"/>
        <w:gridCol w:w="2080"/>
        <w:gridCol w:w="2380"/>
        <w:gridCol w:w="196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8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4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5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0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9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5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19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82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269.85</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263.36</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6.49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242.78</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242.78</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47.26</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47.26</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50.60</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50.60</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74.44</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74.44</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21.10</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21.10</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10.55</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10.55</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8.04</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8.04</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9.88</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9.88</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20.03</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20.03</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6.49</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2.47</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20.58</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20.58</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13.69</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13.69</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5.20</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5.20</w:t>
            </w: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5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0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196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965"/>
        <w:gridCol w:w="965"/>
        <w:gridCol w:w="965"/>
        <w:gridCol w:w="965"/>
        <w:gridCol w:w="965"/>
        <w:gridCol w:w="965"/>
        <w:gridCol w:w="965"/>
        <w:gridCol w:w="965"/>
        <w:gridCol w:w="965"/>
        <w:gridCol w:w="96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9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9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9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3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6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3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1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3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1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83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湟源县湟海渠管理所2023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湟源县湟海渠管理所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一般公共预算拨款收入341.85万元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社会保障和就业支出47.90万元，卫生健康支出23.12万元，农林水支出250.80万元，住房保障支出20.03万元</w:t>
      </w:r>
      <w:r>
        <w:rPr>
          <w:rFonts w:hint="eastAsia" w:ascii="仿宋_GB2312" w:eastAsia="仿宋_GB2312"/>
          <w:sz w:val="32"/>
          <w:szCs w:val="32"/>
        </w:rPr>
        <w:t>。</w:t>
      </w:r>
      <w:r>
        <w:rPr>
          <w:rFonts w:hint="eastAsia" w:ascii="仿宋_GB2312" w:eastAsia="仿宋_GB2312"/>
          <w:sz w:val="32"/>
          <w:szCs w:val="32"/>
          <w:lang w:val="en-US" w:eastAsia="zh-CN"/>
        </w:rPr>
        <w:t>湟源县湟海渠管理所2023</w:t>
      </w:r>
      <w:r>
        <w:rPr>
          <w:rFonts w:hint="eastAsia" w:ascii="仿宋_GB2312" w:eastAsia="仿宋_GB2312"/>
          <w:sz w:val="32"/>
          <w:szCs w:val="32"/>
        </w:rPr>
        <w:t>年收支总预算</w:t>
      </w:r>
      <w:r>
        <w:rPr>
          <w:rFonts w:hint="eastAsia" w:ascii="仿宋_GB2312" w:eastAsia="仿宋_GB2312"/>
          <w:sz w:val="32"/>
          <w:szCs w:val="32"/>
          <w:lang w:val="en-US" w:eastAsia="zh-CN"/>
        </w:rPr>
        <w:t>341.85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湟源县湟海渠管理所2023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年收入预算</w:t>
      </w:r>
      <w:r>
        <w:rPr>
          <w:rFonts w:hint="eastAsia" w:ascii="仿宋_GB2312" w:eastAsia="仿宋_GB2312"/>
          <w:sz w:val="32"/>
          <w:szCs w:val="32"/>
          <w:lang w:val="en-US" w:eastAsia="zh-CN"/>
        </w:rPr>
        <w:t>341.85</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一般公共预算拨款收入341.85万元，占100.00%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8.55pt;width:366.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湟源县湟海渠管理所2023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年支出预算</w:t>
      </w:r>
      <w:r>
        <w:rPr>
          <w:rFonts w:hint="eastAsia" w:ascii="仿宋_GB2312" w:eastAsia="仿宋_GB2312"/>
          <w:sz w:val="32"/>
          <w:szCs w:val="32"/>
          <w:lang w:val="en-US" w:eastAsia="zh-CN"/>
        </w:rPr>
        <w:t>341.85</w:t>
      </w:r>
      <w:r>
        <w:rPr>
          <w:rFonts w:hint="eastAsia" w:ascii="仿宋_GB2312" w:eastAsia="仿宋_GB2312"/>
          <w:sz w:val="32"/>
          <w:szCs w:val="32"/>
        </w:rPr>
        <w:t>万元，其中：</w:t>
      </w:r>
      <w:r>
        <w:rPr>
          <w:rFonts w:hint="eastAsia" w:ascii="仿宋_GB2312" w:eastAsia="仿宋_GB2312"/>
          <w:sz w:val="32"/>
          <w:szCs w:val="32"/>
          <w:lang w:val="en-US" w:eastAsia="zh-CN"/>
        </w:rPr>
        <w:t>基本支出269.85万元，占78.94%；项目支出72.00万元，占21.06%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70.9pt;width:371.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湟源县湟海渠管理所2023</w:t>
      </w:r>
      <w:r>
        <w:rPr>
          <w:rFonts w:hint="eastAsia" w:ascii="黑体" w:hAnsi="宋体" w:eastAsia="黑体"/>
          <w:color w:val="000000"/>
          <w:sz w:val="32"/>
          <w:szCs w:val="32"/>
        </w:rPr>
        <w:t>年财政拨款收支预算情况的总体说明</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341.85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增加61.83</w:t>
      </w:r>
      <w:r>
        <w:rPr>
          <w:rFonts w:hint="eastAsia" w:ascii="仿宋_GB2312" w:eastAsia="仿宋_GB2312"/>
          <w:sz w:val="32"/>
          <w:szCs w:val="32"/>
        </w:rPr>
        <w:t>万元，主要是</w:t>
      </w:r>
      <w:r>
        <w:rPr>
          <w:rFonts w:hint="eastAsia" w:ascii="仿宋_GB2312" w:hAnsi="仿宋" w:eastAsia="仿宋_GB2312" w:cs="Times New Roman"/>
          <w:spacing w:val="-6"/>
          <w:kern w:val="2"/>
          <w:sz w:val="32"/>
          <w:szCs w:val="32"/>
          <w:highlight w:val="none"/>
          <w:lang w:val="en-US" w:eastAsia="zh-CN" w:bidi="ar-SA"/>
        </w:rPr>
        <w:t>由于办公经费预算有限，无力支撑管理所日常用电及取暖季供暖需求，特增加项目预算（管理所用电及供暖）7万元，湟海渠渠道灌溉运行经费增加2.64万元；且2022年9月新招录一名事业编制人员，相应的工资福利及社会保险支出有一定范围内的增加。由于收入包括：一般公共预算拨款收入341.85万元，上年结转0.00万元；政府性基金预算拨款收入0.00万元，上年结转0.00万元。支出包括： 社会保障和就业支出47.90万元， 卫生健康支出23.12万元， 农林水支出250.80万元， 住房保障支出20.03万元。</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hAnsi="仿宋" w:eastAsia="仿宋_GB2312" w:cs="Times New Roman"/>
          <w:spacing w:val="-6"/>
          <w:kern w:val="2"/>
          <w:sz w:val="32"/>
          <w:szCs w:val="32"/>
          <w:highlight w:val="none"/>
          <w:lang w:val="en-US" w:eastAsia="zh-CN" w:bidi="ar-SA"/>
        </w:rPr>
        <w:pict>
          <v:shape id="_x0000_i1027" o:spt="75" type="#_x0000_t75" style="height:169.5pt;width:368.5pt;" filled="f" o:preferrelative="t" stroked="f" coordsize="21600,21600">
            <v:path/>
            <v:fill on="f" focussize="0,0"/>
            <v:stroke on="f"/>
            <v:imagedata r:id="rId9" o:title=""/>
            <o:lock v:ext="edit" aspectratio="t"/>
            <w10:wrap type="none"/>
            <w10:anchorlock/>
          </v:shape>
        </w:pict>
      </w:r>
    </w:p>
    <w:p>
      <w:pPr>
        <w:ind w:firstLine="616" w:firstLineChars="200"/>
        <w:rPr>
          <w:rFonts w:hint="eastAsia" w:ascii="仿宋_GB2312" w:hAnsi="仿宋" w:eastAsia="仿宋_GB2312" w:cs="Times New Roman"/>
          <w:spacing w:val="-6"/>
          <w:kern w:val="2"/>
          <w:sz w:val="32"/>
          <w:szCs w:val="32"/>
          <w:highlight w:val="none"/>
          <w:lang w:val="en-US" w:eastAsia="zh-CN" w:bidi="ar-SA"/>
        </w:rPr>
      </w:pPr>
      <w:r>
        <w:rPr>
          <w:rFonts w:hint="eastAsia" w:ascii="仿宋_GB2312" w:hAnsi="仿宋" w:eastAsia="仿宋_GB2312" w:cs="Times New Roman"/>
          <w:spacing w:val="-6"/>
          <w:kern w:val="2"/>
          <w:sz w:val="32"/>
          <w:szCs w:val="32"/>
          <w:highlight w:val="none"/>
          <w:lang w:val="en-US" w:eastAsia="zh-CN" w:bidi="ar-SA"/>
        </w:rPr>
        <w:t>五、关于湟源县湟海渠管理所2023年一般公共预算当年拨款情况说明</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hAnsi="仿宋" w:eastAsia="仿宋_GB2312" w:cs="Times New Roman"/>
          <w:spacing w:val="-6"/>
          <w:kern w:val="2"/>
          <w:sz w:val="32"/>
          <w:szCs w:val="32"/>
          <w:highlight w:val="none"/>
          <w:lang w:val="en-US" w:eastAsia="zh-CN" w:bidi="ar-SA"/>
        </w:rPr>
        <w:t>（一）一般公共预算当年拨款规模变化情况。</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hAnsi="仿宋" w:eastAsia="仿宋_GB2312" w:cs="Times New Roman"/>
          <w:spacing w:val="-6"/>
          <w:kern w:val="2"/>
          <w:sz w:val="32"/>
          <w:szCs w:val="32"/>
          <w:highlight w:val="none"/>
          <w:lang w:val="en-US" w:eastAsia="zh-CN" w:bidi="ar-SA"/>
        </w:rPr>
        <w:t>湟源县湟海渠管理所2023年一般公共预算当年拨款341.85万元,比上年增加61.83万元，主要是办公经费预算有限，无力支撑管理所日常用电及取暖季供暖需求，特增加项目预算（管理所用电及供暖）7万元，湟海渠渠道灌溉运行经费增加2.64万元；且2022年9月新招录一名事业编制人员，相应的工资福利及社会保险支出有一定范围内的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5.15pt;width:365.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社会保障和就业支出47.90万元，占14.01%；卫生健康支出23.12万元，占6.76%；农林水支出250.80万元，占73.37%；住房保障支出20.03万元，占5.86%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9.05pt;width:367.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增加3.53</w:t>
      </w:r>
      <w:r>
        <w:rPr>
          <w:rFonts w:hint="eastAsia" w:ascii="仿宋_GB2312" w:eastAsia="仿宋_GB2312"/>
          <w:sz w:val="32"/>
          <w:szCs w:val="32"/>
        </w:rPr>
        <w:t>万元，</w:t>
      </w:r>
      <w:r>
        <w:rPr>
          <w:rFonts w:hint="eastAsia" w:ascii="仿宋_GB2312" w:eastAsia="仿宋_GB2312"/>
          <w:sz w:val="32"/>
          <w:szCs w:val="32"/>
          <w:lang w:val="en-US" w:eastAsia="zh-CN"/>
        </w:rPr>
        <w:t>增长20.09</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2022年9月新招录一名事业编制人员，且养老保险基数进行了年度上调。</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增加1.77</w:t>
      </w:r>
      <w:r>
        <w:rPr>
          <w:rFonts w:hint="eastAsia" w:ascii="仿宋_GB2312" w:eastAsia="仿宋_GB2312"/>
          <w:sz w:val="32"/>
          <w:szCs w:val="32"/>
        </w:rPr>
        <w:t>万元，</w:t>
      </w:r>
      <w:r>
        <w:rPr>
          <w:rFonts w:hint="eastAsia" w:ascii="仿宋_GB2312" w:eastAsia="仿宋_GB2312"/>
          <w:sz w:val="32"/>
          <w:szCs w:val="32"/>
          <w:lang w:val="en-US" w:eastAsia="zh-CN"/>
        </w:rPr>
        <w:t>增长20.16</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2022年9月新招录一名事业编制人员，且职业年金基数进行了年度上调</w:t>
      </w:r>
      <w:r>
        <w:rPr>
          <w:rFonts w:hint="eastAsia" w:ascii="仿宋_GB2312" w:eastAsia="仿宋_GB2312"/>
          <w:sz w:val="32"/>
          <w:szCs w:val="32"/>
          <w:lang w:val="en-US" w:eastAsia="zh-CN"/>
        </w:rPr>
        <w:t>。</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增加1.78</w:t>
      </w:r>
      <w:r>
        <w:rPr>
          <w:rFonts w:hint="eastAsia" w:ascii="仿宋_GB2312" w:eastAsia="仿宋_GB2312"/>
          <w:sz w:val="32"/>
          <w:szCs w:val="32"/>
        </w:rPr>
        <w:t>万元，</w:t>
      </w:r>
      <w:r>
        <w:rPr>
          <w:rFonts w:hint="eastAsia" w:ascii="仿宋_GB2312" w:eastAsia="仿宋_GB2312"/>
          <w:sz w:val="32"/>
          <w:szCs w:val="32"/>
          <w:lang w:val="en-US" w:eastAsia="zh-CN"/>
        </w:rPr>
        <w:t>增长13.09</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2022年9月新招录一名事业编制人员。</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减少0.09</w:t>
      </w:r>
      <w:r>
        <w:rPr>
          <w:rFonts w:hint="eastAsia" w:ascii="仿宋_GB2312" w:eastAsia="仿宋_GB2312"/>
          <w:sz w:val="32"/>
          <w:szCs w:val="32"/>
        </w:rPr>
        <w:t>万元，</w:t>
      </w:r>
      <w:r>
        <w:rPr>
          <w:rFonts w:hint="eastAsia" w:ascii="仿宋_GB2312" w:eastAsia="仿宋_GB2312"/>
          <w:sz w:val="32"/>
          <w:szCs w:val="32"/>
          <w:lang w:val="en-US" w:eastAsia="zh-CN"/>
        </w:rPr>
        <w:t>下降9.38</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2022年退休副高级职称事业单位编制人员一名，其缴费基数较高，而新招录人员的缴费基数较低。</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增加0.13</w:t>
      </w:r>
      <w:r>
        <w:rPr>
          <w:rFonts w:hint="eastAsia" w:ascii="仿宋_GB2312" w:eastAsia="仿宋_GB2312"/>
          <w:sz w:val="32"/>
          <w:szCs w:val="32"/>
        </w:rPr>
        <w:t>万元，</w:t>
      </w:r>
      <w:r>
        <w:rPr>
          <w:rFonts w:hint="eastAsia" w:ascii="仿宋_GB2312" w:eastAsia="仿宋_GB2312"/>
          <w:sz w:val="32"/>
          <w:szCs w:val="32"/>
          <w:lang w:val="en-US" w:eastAsia="zh-CN"/>
        </w:rPr>
        <w:t>增长0.99</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2022年9月新招录事业单位编制人员一名。</w:t>
      </w:r>
    </w:p>
    <w:p>
      <w:pPr>
        <w:ind w:firstLine="645"/>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减少1.03</w:t>
      </w:r>
      <w:r>
        <w:rPr>
          <w:rFonts w:hint="eastAsia" w:ascii="仿宋_GB2312" w:eastAsia="仿宋_GB2312"/>
          <w:sz w:val="32"/>
          <w:szCs w:val="32"/>
        </w:rPr>
        <w:t>万元，</w:t>
      </w:r>
      <w:r>
        <w:rPr>
          <w:rFonts w:hint="eastAsia" w:ascii="仿宋_GB2312" w:eastAsia="仿宋_GB2312"/>
          <w:sz w:val="32"/>
          <w:szCs w:val="32"/>
          <w:lang w:val="en-US" w:eastAsia="zh-CN"/>
        </w:rPr>
        <w:t>下降9.44</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2022年退休副高级职称事业单位编制人员一名，其缴费基数较高，而新招录人员的缴费基数较低。</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178.80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增加0.10</w:t>
      </w:r>
      <w:r>
        <w:rPr>
          <w:rFonts w:hint="eastAsia" w:ascii="仿宋_GB2312" w:eastAsia="仿宋_GB2312"/>
          <w:sz w:val="32"/>
          <w:szCs w:val="32"/>
        </w:rPr>
        <w:t>万元，</w:t>
      </w:r>
      <w:r>
        <w:rPr>
          <w:rFonts w:hint="eastAsia" w:ascii="仿宋_GB2312" w:eastAsia="仿宋_GB2312"/>
          <w:sz w:val="32"/>
          <w:szCs w:val="32"/>
          <w:lang w:val="en-US" w:eastAsia="zh-CN"/>
        </w:rPr>
        <w:t>增长0.06</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2022年9月新招录事业单位编制人员一名。</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增加52.00</w:t>
      </w:r>
      <w:r>
        <w:rPr>
          <w:rFonts w:hint="eastAsia" w:ascii="仿宋_GB2312" w:eastAsia="仿宋_GB2312"/>
          <w:sz w:val="32"/>
          <w:szCs w:val="32"/>
        </w:rPr>
        <w:t>万元，</w:t>
      </w:r>
      <w:r>
        <w:rPr>
          <w:rFonts w:hint="eastAsia" w:ascii="仿宋_GB2312" w:eastAsia="仿宋_GB2312"/>
          <w:sz w:val="32"/>
          <w:szCs w:val="32"/>
          <w:lang w:val="en-US" w:eastAsia="zh-CN"/>
        </w:rPr>
        <w:t>增长260.00</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办公经费预算有限，无力支撑管理所日常用电及取暖季供暖需求，特增加项目预算（管理所用电及供暖）7万元，湟海渠渠道灌溉运行经费一次性拨付65万元，而去年一次性拨付20万元。</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增加3.64</w:t>
      </w:r>
      <w:r>
        <w:rPr>
          <w:rFonts w:hint="eastAsia" w:ascii="仿宋_GB2312" w:eastAsia="仿宋_GB2312"/>
          <w:sz w:val="32"/>
          <w:szCs w:val="32"/>
        </w:rPr>
        <w:t>万元，</w:t>
      </w:r>
      <w:r>
        <w:rPr>
          <w:rFonts w:hint="eastAsia" w:ascii="仿宋_GB2312" w:eastAsia="仿宋_GB2312"/>
          <w:sz w:val="32"/>
          <w:szCs w:val="32"/>
          <w:lang w:val="en-US" w:eastAsia="zh-CN"/>
        </w:rPr>
        <w:t>增长22.21</w:t>
      </w:r>
      <w:r>
        <w:rPr>
          <w:rFonts w:hint="eastAsia" w:ascii="仿宋_GB2312" w:eastAsia="仿宋_GB2312"/>
          <w:sz w:val="32"/>
          <w:szCs w:val="32"/>
        </w:rPr>
        <w:t>%。主要是</w:t>
      </w:r>
      <w:r>
        <w:rPr>
          <w:rFonts w:hint="eastAsia" w:ascii="仿宋_GB2312" w:hAnsi="仿宋" w:eastAsia="仿宋_GB2312" w:cs="Times New Roman"/>
          <w:spacing w:val="-6"/>
          <w:kern w:val="2"/>
          <w:sz w:val="32"/>
          <w:szCs w:val="32"/>
          <w:highlight w:val="none"/>
          <w:lang w:val="en-US" w:eastAsia="zh-CN" w:bidi="ar-SA"/>
        </w:rPr>
        <w:t>2022年9月新招录事业单位编制人员一名。</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湟源县湟海渠管理所2023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269.85</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263.36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47.26万元、津贴补贴50.60万元、绩效工资74.44万元、机关事业单位基本养老保险缴费21.10万元、职业年金缴费10.55万元、职工基本医疗保险缴费8.04万元、公务员医疗补助缴费9.88万元、其他社会保障缴费0.87万元、住房公积金20.03万元、退休费13.69万元、生活补助1.69万元、医疗费补助5.20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6.49</w:t>
      </w:r>
      <w:r>
        <w:rPr>
          <w:rFonts w:hint="eastAsia" w:ascii="仿宋_GB2312" w:eastAsia="仿宋_GB2312"/>
          <w:sz w:val="32"/>
          <w:szCs w:val="32"/>
        </w:rPr>
        <w:t>万元，主要包括：</w:t>
      </w:r>
      <w:r>
        <w:rPr>
          <w:rFonts w:hint="eastAsia" w:ascii="仿宋_GB2312" w:eastAsia="仿宋_GB2312"/>
          <w:sz w:val="32"/>
          <w:szCs w:val="32"/>
          <w:lang w:val="en-US" w:eastAsia="zh-CN"/>
        </w:rPr>
        <w:t>办公费0.36万元、水费0.24万元、电费0.24万元、邮电费0.60万元、取暖费1.20万元、差旅费0.48万元、公务接待费0.24万元、工会经费2.47万元、其他商品和服务支出0.66万元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湟源县湟海渠管理所2023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hAnsi="仿宋" w:eastAsia="仿宋_GB2312" w:cs="Times New Roman"/>
          <w:spacing w:val="-6"/>
          <w:kern w:val="2"/>
          <w:sz w:val="32"/>
          <w:szCs w:val="32"/>
          <w:highlight w:val="none"/>
          <w:lang w:val="en-US" w:eastAsia="zh-CN" w:bidi="ar-SA"/>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0.24</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减少，因公务接待减少</w:t>
      </w:r>
      <w:r>
        <w:rPr>
          <w:rFonts w:hint="eastAsia" w:ascii="仿宋_GB2312" w:hAnsi="仿宋" w:eastAsia="仿宋_GB2312" w:cs="Times New Roman"/>
          <w:spacing w:val="-6"/>
          <w:kern w:val="2"/>
          <w:sz w:val="32"/>
          <w:szCs w:val="32"/>
          <w:highlight w:val="none"/>
          <w:lang w:val="en-US" w:eastAsia="zh-CN" w:bidi="ar-SA"/>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湟源县湟海渠管理所2023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湟源县湟海渠管理所2023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湟源县湟海渠管理所</w:t>
      </w:r>
      <w:r>
        <w:rPr>
          <w:rFonts w:hint="eastAsia" w:ascii="仿宋_GB2312" w:hAnsi="仿宋" w:eastAsia="仿宋_GB2312"/>
          <w:spacing w:val="-6"/>
          <w:kern w:val="2"/>
          <w:sz w:val="32"/>
          <w:szCs w:val="32"/>
          <w:lang w:val="en-US"/>
        </w:rPr>
        <w:t>机关运行经费财政拨款预算6.49万元，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预算减少0.55万元，下降7.81%。主要</w:t>
      </w:r>
      <w:r>
        <w:rPr>
          <w:rFonts w:hint="eastAsia" w:ascii="仿宋_GB2312" w:hAnsi="仿宋" w:eastAsia="仿宋_GB2312"/>
          <w:spacing w:val="-6"/>
          <w:kern w:val="2"/>
          <w:sz w:val="32"/>
          <w:szCs w:val="32"/>
          <w:lang w:val="en-US" w:eastAsia="zh-CN"/>
        </w:rPr>
        <w:t>是公务接待减少</w:t>
      </w:r>
      <w:r>
        <w:rPr>
          <w:rFonts w:hint="eastAsia" w:ascii="仿宋_GB2312" w:hAnsi="仿宋" w:eastAsia="仿宋_GB2312"/>
          <w:spacing w:val="-6"/>
          <w:kern w:val="2"/>
          <w:sz w:val="32"/>
          <w:szCs w:val="32"/>
          <w:highlight w:val="none"/>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湟源县湟海渠管理所各单位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bookmarkStart w:id="6" w:name="_GoBack"/>
      <w:bookmarkEnd w:id="6"/>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湟源县湟海渠管理所所属各预算单位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湟源县湟海渠管理所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72.00</w:t>
      </w:r>
      <w:r>
        <w:rPr>
          <w:rFonts w:hint="eastAsia" w:ascii="仿宋_GB2312" w:hAnsi="仿宋" w:eastAsia="仿宋_GB2312"/>
          <w:spacing w:val="-6"/>
          <w:kern w:val="2"/>
          <w:sz w:val="32"/>
          <w:szCs w:val="32"/>
          <w:lang w:val="en-US"/>
        </w:rPr>
        <w:t>万元。</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8"/>
        <w:tblW w:w="9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5"/>
        <w:gridCol w:w="1056"/>
        <w:gridCol w:w="1581"/>
        <w:gridCol w:w="796"/>
        <w:gridCol w:w="767"/>
        <w:gridCol w:w="1625"/>
        <w:gridCol w:w="882"/>
        <w:gridCol w:w="882"/>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87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42"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96"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64"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8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管理所用电及冬季取暖费</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保证办公用取暖，管理所用电及冬季取暖费</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保证办公用取暖，管理所用电及冬季取暖费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保证办公用取暖，管理所用电及冬季取暖费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保证办公用取暖，管理所用电及冬季取暖费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湟海灌区渠道维修管护经费</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湟海灌区渠道维修管护经费，各管理段巡渠人员的工资管护费</w:t>
            </w: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湟海灌区渠道维修管护经费，各管理段巡渠人员的工资管护费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1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湟海灌区渠道维修管护经费，各管理段巡渠人员的工资管护费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jc w:val="center"/>
        </w:trPr>
        <w:tc>
          <w:tcPr>
            <w:tcW w:w="14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湟海灌区渠道维修管护经费，各管理段巡渠人员的工资管护费</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bl>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水利行业业务管理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农村水利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反映国家对中型灌区节水配套改造、牧区水利建设、小型水源建设、农村河塘整治以及排灌站、小水电站补助等。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273CC"/>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0CE9"/>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04456"/>
    <w:rsid w:val="03BA365B"/>
    <w:rsid w:val="03BB1D6C"/>
    <w:rsid w:val="03DA0FBE"/>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72E78"/>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8C017B"/>
    <w:rsid w:val="089716ED"/>
    <w:rsid w:val="08CC2655"/>
    <w:rsid w:val="09151112"/>
    <w:rsid w:val="091B52F7"/>
    <w:rsid w:val="091C13C7"/>
    <w:rsid w:val="092B4317"/>
    <w:rsid w:val="093A7BD7"/>
    <w:rsid w:val="093B4BC3"/>
    <w:rsid w:val="094232FC"/>
    <w:rsid w:val="094620D8"/>
    <w:rsid w:val="099A2423"/>
    <w:rsid w:val="099E1F14"/>
    <w:rsid w:val="09A34935"/>
    <w:rsid w:val="09A514F4"/>
    <w:rsid w:val="09B62700"/>
    <w:rsid w:val="0A033A90"/>
    <w:rsid w:val="0A2520A2"/>
    <w:rsid w:val="0A3F79A3"/>
    <w:rsid w:val="0A473A62"/>
    <w:rsid w:val="0A59408D"/>
    <w:rsid w:val="0AE75B3C"/>
    <w:rsid w:val="0AE95411"/>
    <w:rsid w:val="0AF344E1"/>
    <w:rsid w:val="0AFD2C6A"/>
    <w:rsid w:val="0AFD318D"/>
    <w:rsid w:val="0B9335CE"/>
    <w:rsid w:val="0BBF43C3"/>
    <w:rsid w:val="0BE718B9"/>
    <w:rsid w:val="0BF027CF"/>
    <w:rsid w:val="0C1666D9"/>
    <w:rsid w:val="0C33338D"/>
    <w:rsid w:val="0C3837AD"/>
    <w:rsid w:val="0C434FF4"/>
    <w:rsid w:val="0C461B4F"/>
    <w:rsid w:val="0C684A5B"/>
    <w:rsid w:val="0CB620EA"/>
    <w:rsid w:val="0CBF274A"/>
    <w:rsid w:val="0CE83E39"/>
    <w:rsid w:val="0D10137A"/>
    <w:rsid w:val="0D103128"/>
    <w:rsid w:val="0D190642"/>
    <w:rsid w:val="0D1F15BD"/>
    <w:rsid w:val="0D347D03"/>
    <w:rsid w:val="0D4C7ED9"/>
    <w:rsid w:val="0E193301"/>
    <w:rsid w:val="0E2447F1"/>
    <w:rsid w:val="0E72396F"/>
    <w:rsid w:val="0EAF6971"/>
    <w:rsid w:val="0EB9334C"/>
    <w:rsid w:val="0EE02A09"/>
    <w:rsid w:val="0EF30338"/>
    <w:rsid w:val="0EF820C6"/>
    <w:rsid w:val="0F0C3167"/>
    <w:rsid w:val="0F1B23BF"/>
    <w:rsid w:val="0F4E7F7D"/>
    <w:rsid w:val="0F5D63CD"/>
    <w:rsid w:val="0F841BAC"/>
    <w:rsid w:val="0F9D0EBF"/>
    <w:rsid w:val="0FBC2FF0"/>
    <w:rsid w:val="0FD7617F"/>
    <w:rsid w:val="0FDF10D4"/>
    <w:rsid w:val="0FEB5787"/>
    <w:rsid w:val="104E3681"/>
    <w:rsid w:val="10594DE6"/>
    <w:rsid w:val="107734BE"/>
    <w:rsid w:val="107C6D27"/>
    <w:rsid w:val="10915F18"/>
    <w:rsid w:val="10A51DDA"/>
    <w:rsid w:val="10CA42ED"/>
    <w:rsid w:val="10D26947"/>
    <w:rsid w:val="10D60A11"/>
    <w:rsid w:val="10D91A83"/>
    <w:rsid w:val="10F20D97"/>
    <w:rsid w:val="111C6472"/>
    <w:rsid w:val="11276C93"/>
    <w:rsid w:val="11292A0B"/>
    <w:rsid w:val="11963E18"/>
    <w:rsid w:val="11B06C88"/>
    <w:rsid w:val="11FC011F"/>
    <w:rsid w:val="12402145"/>
    <w:rsid w:val="12525F91"/>
    <w:rsid w:val="126B2BAF"/>
    <w:rsid w:val="1283439D"/>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4F4E94"/>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131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41204B"/>
    <w:rsid w:val="1E5D33B2"/>
    <w:rsid w:val="1E8C45D9"/>
    <w:rsid w:val="1ECF44C6"/>
    <w:rsid w:val="1ED57D2E"/>
    <w:rsid w:val="1EE6018D"/>
    <w:rsid w:val="1EE75CB3"/>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2F015DA"/>
    <w:rsid w:val="23020B9B"/>
    <w:rsid w:val="23563407"/>
    <w:rsid w:val="2369043B"/>
    <w:rsid w:val="23D076B0"/>
    <w:rsid w:val="23D83E1C"/>
    <w:rsid w:val="23F171DD"/>
    <w:rsid w:val="24013373"/>
    <w:rsid w:val="241035B6"/>
    <w:rsid w:val="24173588"/>
    <w:rsid w:val="24594F5D"/>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5FC0296"/>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BF81C4B"/>
    <w:rsid w:val="2C165AE7"/>
    <w:rsid w:val="2C4633EA"/>
    <w:rsid w:val="2C862667"/>
    <w:rsid w:val="2C9F2793"/>
    <w:rsid w:val="2CB82A3D"/>
    <w:rsid w:val="2CC80ED2"/>
    <w:rsid w:val="2CD812B0"/>
    <w:rsid w:val="2D0A3299"/>
    <w:rsid w:val="2D142369"/>
    <w:rsid w:val="2D1660E1"/>
    <w:rsid w:val="2D4F33A1"/>
    <w:rsid w:val="2D5F7AEE"/>
    <w:rsid w:val="2D7C1CBC"/>
    <w:rsid w:val="2D9C6C0D"/>
    <w:rsid w:val="2DBA2F11"/>
    <w:rsid w:val="2DCE076A"/>
    <w:rsid w:val="2DF61A6F"/>
    <w:rsid w:val="2E2A34C6"/>
    <w:rsid w:val="2E5D1AEE"/>
    <w:rsid w:val="2E7E2FE0"/>
    <w:rsid w:val="2E8A1F67"/>
    <w:rsid w:val="2EA944D2"/>
    <w:rsid w:val="2EBF2578"/>
    <w:rsid w:val="2EF35057"/>
    <w:rsid w:val="2F0A0548"/>
    <w:rsid w:val="2F0B32F8"/>
    <w:rsid w:val="2F511653"/>
    <w:rsid w:val="2F5C639F"/>
    <w:rsid w:val="2F666780"/>
    <w:rsid w:val="2FB13EB5"/>
    <w:rsid w:val="2FE029D7"/>
    <w:rsid w:val="2FEF49C8"/>
    <w:rsid w:val="2FFD63B6"/>
    <w:rsid w:val="30074904"/>
    <w:rsid w:val="300A1801"/>
    <w:rsid w:val="300E30A0"/>
    <w:rsid w:val="30A92DC8"/>
    <w:rsid w:val="30B15BC1"/>
    <w:rsid w:val="30E47124"/>
    <w:rsid w:val="31012C04"/>
    <w:rsid w:val="3119625B"/>
    <w:rsid w:val="31524179"/>
    <w:rsid w:val="31741628"/>
    <w:rsid w:val="317E4255"/>
    <w:rsid w:val="318B6972"/>
    <w:rsid w:val="318D4498"/>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384B8F"/>
    <w:rsid w:val="34574ACF"/>
    <w:rsid w:val="34666500"/>
    <w:rsid w:val="3485379F"/>
    <w:rsid w:val="34924EAA"/>
    <w:rsid w:val="349C5FC1"/>
    <w:rsid w:val="34C05684"/>
    <w:rsid w:val="34C839CB"/>
    <w:rsid w:val="35301D0A"/>
    <w:rsid w:val="354E7C5B"/>
    <w:rsid w:val="357E2A76"/>
    <w:rsid w:val="35915BC6"/>
    <w:rsid w:val="359D0A43"/>
    <w:rsid w:val="35AE6A69"/>
    <w:rsid w:val="35B446E9"/>
    <w:rsid w:val="35BC17F0"/>
    <w:rsid w:val="35F25212"/>
    <w:rsid w:val="36116DAA"/>
    <w:rsid w:val="363C540D"/>
    <w:rsid w:val="36416515"/>
    <w:rsid w:val="36521CA0"/>
    <w:rsid w:val="366205A6"/>
    <w:rsid w:val="366235D0"/>
    <w:rsid w:val="366E2AEA"/>
    <w:rsid w:val="36712734"/>
    <w:rsid w:val="369E4A52"/>
    <w:rsid w:val="369F6FCD"/>
    <w:rsid w:val="36AD2EE7"/>
    <w:rsid w:val="36B33EA4"/>
    <w:rsid w:val="36B97ADD"/>
    <w:rsid w:val="370A4123"/>
    <w:rsid w:val="37103BA1"/>
    <w:rsid w:val="37105007"/>
    <w:rsid w:val="3714046D"/>
    <w:rsid w:val="37166CDE"/>
    <w:rsid w:val="371B60A2"/>
    <w:rsid w:val="379F0A81"/>
    <w:rsid w:val="379F6CD3"/>
    <w:rsid w:val="37C93D50"/>
    <w:rsid w:val="37DE05C8"/>
    <w:rsid w:val="37EE4E6A"/>
    <w:rsid w:val="37F75570"/>
    <w:rsid w:val="38185412"/>
    <w:rsid w:val="3832028F"/>
    <w:rsid w:val="384855BD"/>
    <w:rsid w:val="38A8605B"/>
    <w:rsid w:val="38AC78FA"/>
    <w:rsid w:val="38D31DC1"/>
    <w:rsid w:val="38F90665"/>
    <w:rsid w:val="38FF5DE7"/>
    <w:rsid w:val="394C4C39"/>
    <w:rsid w:val="39836BEC"/>
    <w:rsid w:val="398D772B"/>
    <w:rsid w:val="39A44A75"/>
    <w:rsid w:val="39B35AC2"/>
    <w:rsid w:val="39D87059"/>
    <w:rsid w:val="39E76FAA"/>
    <w:rsid w:val="39EB6200"/>
    <w:rsid w:val="3A1C0AAF"/>
    <w:rsid w:val="3A5C534F"/>
    <w:rsid w:val="3A667F7C"/>
    <w:rsid w:val="3AC151B3"/>
    <w:rsid w:val="3AE57819"/>
    <w:rsid w:val="3AE96BE3"/>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A60DBB"/>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8213B4"/>
    <w:rsid w:val="3F934A87"/>
    <w:rsid w:val="3FCF2120"/>
    <w:rsid w:val="3FDB1FED"/>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1C38CE"/>
    <w:rsid w:val="43210EE4"/>
    <w:rsid w:val="432A62D3"/>
    <w:rsid w:val="43301127"/>
    <w:rsid w:val="433C5D1E"/>
    <w:rsid w:val="4350530C"/>
    <w:rsid w:val="43BB4117"/>
    <w:rsid w:val="43C27FD1"/>
    <w:rsid w:val="43D67F21"/>
    <w:rsid w:val="440A59E9"/>
    <w:rsid w:val="442844F2"/>
    <w:rsid w:val="44412933"/>
    <w:rsid w:val="444A6219"/>
    <w:rsid w:val="445D5F4C"/>
    <w:rsid w:val="446A2417"/>
    <w:rsid w:val="44703ED1"/>
    <w:rsid w:val="44B32010"/>
    <w:rsid w:val="44BE66E6"/>
    <w:rsid w:val="44D04970"/>
    <w:rsid w:val="44ED5522"/>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3256A"/>
    <w:rsid w:val="47CB42B8"/>
    <w:rsid w:val="47F210A1"/>
    <w:rsid w:val="47F41D83"/>
    <w:rsid w:val="48226D7F"/>
    <w:rsid w:val="482C45B3"/>
    <w:rsid w:val="483E7E42"/>
    <w:rsid w:val="48894852"/>
    <w:rsid w:val="488C32A4"/>
    <w:rsid w:val="48B819A3"/>
    <w:rsid w:val="48C400DF"/>
    <w:rsid w:val="48C47BE7"/>
    <w:rsid w:val="48C91E02"/>
    <w:rsid w:val="48D83DF3"/>
    <w:rsid w:val="48E56510"/>
    <w:rsid w:val="48FF3A76"/>
    <w:rsid w:val="494D0152"/>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CE92A73"/>
    <w:rsid w:val="4D235A67"/>
    <w:rsid w:val="4D237E1F"/>
    <w:rsid w:val="4D29404E"/>
    <w:rsid w:val="4D7178A9"/>
    <w:rsid w:val="4D8C0AFD"/>
    <w:rsid w:val="4DA62712"/>
    <w:rsid w:val="4DDD4434"/>
    <w:rsid w:val="4E173610"/>
    <w:rsid w:val="4E2118E3"/>
    <w:rsid w:val="4E265601"/>
    <w:rsid w:val="4E2A3343"/>
    <w:rsid w:val="4E4F6905"/>
    <w:rsid w:val="4EA336D8"/>
    <w:rsid w:val="4EA36C51"/>
    <w:rsid w:val="4EE06F77"/>
    <w:rsid w:val="4EF80DAD"/>
    <w:rsid w:val="4F05790C"/>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64FFB"/>
    <w:rsid w:val="50895907"/>
    <w:rsid w:val="508A1E77"/>
    <w:rsid w:val="508D5E0B"/>
    <w:rsid w:val="50CF01D2"/>
    <w:rsid w:val="50CF1F80"/>
    <w:rsid w:val="50D46B08"/>
    <w:rsid w:val="50FA629D"/>
    <w:rsid w:val="511646DB"/>
    <w:rsid w:val="513F7105"/>
    <w:rsid w:val="516F72BF"/>
    <w:rsid w:val="517A1653"/>
    <w:rsid w:val="517E2B19"/>
    <w:rsid w:val="517E430A"/>
    <w:rsid w:val="51C27D36"/>
    <w:rsid w:val="51D57A6A"/>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E2395"/>
    <w:rsid w:val="549F0B68"/>
    <w:rsid w:val="54AB5BF1"/>
    <w:rsid w:val="54AB6860"/>
    <w:rsid w:val="54C676FE"/>
    <w:rsid w:val="550A7A2A"/>
    <w:rsid w:val="550F5041"/>
    <w:rsid w:val="55472A2C"/>
    <w:rsid w:val="554C0043"/>
    <w:rsid w:val="55546EF7"/>
    <w:rsid w:val="556D6D5B"/>
    <w:rsid w:val="55CC0ABE"/>
    <w:rsid w:val="5606196D"/>
    <w:rsid w:val="56494582"/>
    <w:rsid w:val="566B0279"/>
    <w:rsid w:val="568775D5"/>
    <w:rsid w:val="568E4899"/>
    <w:rsid w:val="56D402F0"/>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CC1752"/>
    <w:rsid w:val="59D80245"/>
    <w:rsid w:val="5A032C9A"/>
    <w:rsid w:val="5A1D1FAE"/>
    <w:rsid w:val="5A307F33"/>
    <w:rsid w:val="5A3A10D3"/>
    <w:rsid w:val="5A6373D1"/>
    <w:rsid w:val="5A7B6CD4"/>
    <w:rsid w:val="5A84657D"/>
    <w:rsid w:val="5AAF7962"/>
    <w:rsid w:val="5AB000F4"/>
    <w:rsid w:val="5ABD033C"/>
    <w:rsid w:val="5B57504B"/>
    <w:rsid w:val="5B793B29"/>
    <w:rsid w:val="5B8449DB"/>
    <w:rsid w:val="5B9B13DC"/>
    <w:rsid w:val="5BB64468"/>
    <w:rsid w:val="5BC56BDD"/>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A762EA"/>
    <w:rsid w:val="5EB278C9"/>
    <w:rsid w:val="5EDF7832"/>
    <w:rsid w:val="5EE71275"/>
    <w:rsid w:val="5EF17565"/>
    <w:rsid w:val="5EFF1C82"/>
    <w:rsid w:val="5F183046"/>
    <w:rsid w:val="5F3F4774"/>
    <w:rsid w:val="5F582B88"/>
    <w:rsid w:val="5F97010C"/>
    <w:rsid w:val="5FF61893"/>
    <w:rsid w:val="602709F8"/>
    <w:rsid w:val="6038228F"/>
    <w:rsid w:val="605E6476"/>
    <w:rsid w:val="606103C9"/>
    <w:rsid w:val="607B7A2E"/>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A6715D"/>
    <w:rsid w:val="62C3746A"/>
    <w:rsid w:val="62DE7EE0"/>
    <w:rsid w:val="630C0E11"/>
    <w:rsid w:val="631150EB"/>
    <w:rsid w:val="63745CF3"/>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95111E"/>
    <w:rsid w:val="66A77ED0"/>
    <w:rsid w:val="66ED18C1"/>
    <w:rsid w:val="66FB2B9B"/>
    <w:rsid w:val="67035656"/>
    <w:rsid w:val="67086EF1"/>
    <w:rsid w:val="67087B42"/>
    <w:rsid w:val="67114C48"/>
    <w:rsid w:val="67185FD7"/>
    <w:rsid w:val="67580275"/>
    <w:rsid w:val="677A0A3F"/>
    <w:rsid w:val="67915D89"/>
    <w:rsid w:val="67D5284C"/>
    <w:rsid w:val="68064081"/>
    <w:rsid w:val="680C46FC"/>
    <w:rsid w:val="68307350"/>
    <w:rsid w:val="683B0A95"/>
    <w:rsid w:val="687F50CC"/>
    <w:rsid w:val="688E20AC"/>
    <w:rsid w:val="689A2A1B"/>
    <w:rsid w:val="68C208E3"/>
    <w:rsid w:val="68D75C06"/>
    <w:rsid w:val="693D1D24"/>
    <w:rsid w:val="694806C9"/>
    <w:rsid w:val="69674FF3"/>
    <w:rsid w:val="69DA187A"/>
    <w:rsid w:val="69E228CC"/>
    <w:rsid w:val="6A006AEE"/>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7379F"/>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1C15"/>
    <w:rsid w:val="6E205AC9"/>
    <w:rsid w:val="6E2711F5"/>
    <w:rsid w:val="6E6765D2"/>
    <w:rsid w:val="6E7361E8"/>
    <w:rsid w:val="6EA445F4"/>
    <w:rsid w:val="6EB34837"/>
    <w:rsid w:val="6EEB3447"/>
    <w:rsid w:val="6EF536BE"/>
    <w:rsid w:val="6EF966EE"/>
    <w:rsid w:val="6F165DD9"/>
    <w:rsid w:val="6F204B98"/>
    <w:rsid w:val="6F213E96"/>
    <w:rsid w:val="6F2B261F"/>
    <w:rsid w:val="6F4E0AE8"/>
    <w:rsid w:val="6F4E16D7"/>
    <w:rsid w:val="6F814935"/>
    <w:rsid w:val="6FAD71DC"/>
    <w:rsid w:val="6FB9606E"/>
    <w:rsid w:val="6FD40F09"/>
    <w:rsid w:val="6FD607DD"/>
    <w:rsid w:val="6FF13869"/>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0D6F22"/>
    <w:rsid w:val="76176804"/>
    <w:rsid w:val="761B33ED"/>
    <w:rsid w:val="76530DD9"/>
    <w:rsid w:val="766703E1"/>
    <w:rsid w:val="76724FD8"/>
    <w:rsid w:val="76870A83"/>
    <w:rsid w:val="76A038F3"/>
    <w:rsid w:val="76C361D8"/>
    <w:rsid w:val="76D417EE"/>
    <w:rsid w:val="76FB402C"/>
    <w:rsid w:val="76FD6F97"/>
    <w:rsid w:val="770F2826"/>
    <w:rsid w:val="77381D7D"/>
    <w:rsid w:val="773A3199"/>
    <w:rsid w:val="77510F5D"/>
    <w:rsid w:val="776B2153"/>
    <w:rsid w:val="778B45A3"/>
    <w:rsid w:val="77A141A5"/>
    <w:rsid w:val="77BD2282"/>
    <w:rsid w:val="77D3326F"/>
    <w:rsid w:val="77E37F3B"/>
    <w:rsid w:val="77F17DA5"/>
    <w:rsid w:val="78356FDC"/>
    <w:rsid w:val="784F55D0"/>
    <w:rsid w:val="786712C6"/>
    <w:rsid w:val="788259A6"/>
    <w:rsid w:val="788F3A2D"/>
    <w:rsid w:val="78A23952"/>
    <w:rsid w:val="78A771BA"/>
    <w:rsid w:val="78BB721F"/>
    <w:rsid w:val="78C252D2"/>
    <w:rsid w:val="78E06AB0"/>
    <w:rsid w:val="78E632BF"/>
    <w:rsid w:val="78EC2E1F"/>
    <w:rsid w:val="79030169"/>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45EF0"/>
    <w:rsid w:val="7F463BFE"/>
    <w:rsid w:val="7F601E71"/>
    <w:rsid w:val="7F631C62"/>
    <w:rsid w:val="7F6C2F0C"/>
    <w:rsid w:val="7F86024D"/>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eastAsia="楷体_GB2312"/>
      <w:sz w:val="30"/>
      <w:szCs w:val="20"/>
    </w:rPr>
  </w:style>
  <w:style w:type="paragraph" w:styleId="3">
    <w:name w:val="Body Text Indent"/>
    <w:basedOn w:val="1"/>
    <w:next w:val="1"/>
    <w:qFormat/>
    <w:uiPriority w:val="0"/>
    <w:pPr>
      <w:ind w:firstLine="720" w:firstLineChars="225"/>
    </w:pPr>
    <w:rPr>
      <w:rFonts w:ascii="仿宋_GB2312" w:eastAsia="仿宋_GB2312"/>
      <w:bCs/>
      <w:sz w:val="32"/>
      <w:szCs w:val="32"/>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next w:val="1"/>
    <w:qFormat/>
    <w:uiPriority w:val="0"/>
    <w:pPr>
      <w:ind w:firstLine="420" w:firstLineChars="100"/>
    </w:pPr>
  </w:style>
  <w:style w:type="character" w:styleId="10">
    <w:name w:val="page number"/>
    <w:basedOn w:val="9"/>
    <w:qFormat/>
    <w:uiPriority w:val="0"/>
  </w:style>
  <w:style w:type="character" w:customStyle="1" w:styleId="11">
    <w:name w:val="批注框文本 Char"/>
    <w:link w:val="4"/>
    <w:semiHidden/>
    <w:qFormat/>
    <w:uiPriority w:val="99"/>
    <w:rPr>
      <w:rFonts w:ascii="Times New Roman" w:hAnsi="Times New Roman"/>
      <w:kern w:val="2"/>
      <w:sz w:val="18"/>
      <w:szCs w:val="18"/>
    </w:rPr>
  </w:style>
  <w:style w:type="character" w:customStyle="1" w:styleId="12">
    <w:name w:val="页脚 Char"/>
    <w:link w:val="5"/>
    <w:qFormat/>
    <w:uiPriority w:val="99"/>
    <w:rPr>
      <w:rFonts w:ascii="Times New Roman" w:hAnsi="Times New Roman"/>
      <w:kern w:val="2"/>
      <w:sz w:val="18"/>
      <w:szCs w:val="18"/>
    </w:rPr>
  </w:style>
  <w:style w:type="character" w:customStyle="1" w:styleId="13">
    <w:name w:val="页眉 Char"/>
    <w:link w:val="6"/>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6661</Words>
  <Characters>8001</Characters>
  <Lines>43</Lines>
  <Paragraphs>12</Paragraphs>
  <TotalTime>3</TotalTime>
  <ScaleCrop>false</ScaleCrop>
  <LinksUpToDate>false</LinksUpToDate>
  <CharactersWithSpaces>8105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2023-06-08T03:38:41Z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032A63A02D674EAAA4EEDC142B474A58_13</vt:lpwstr>
  </property>
</Properties>
</file>