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000" w:type="pct"/>
        <w:jc w:val="center"/>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2880" w:hRule="atLeast"/>
          <w:jc w:val="center"/>
        </w:trPr>
        <w:tc>
          <w:tcPr>
            <w:tcW w:w="5000" w:type="pct"/>
            <w:noWrap w:val="0"/>
            <w:vAlign w:val="top"/>
          </w:tcPr>
          <w:p>
            <w:pPr>
              <w:pStyle w:val="12"/>
              <w:rPr>
                <w:rFonts w:hint="eastAsia" w:ascii="仿宋_GB2312" w:hAnsi="Cambria" w:eastAsia="仿宋_GB2312"/>
                <w:caps/>
                <w:sz w:val="28"/>
                <w:szCs w:val="28"/>
              </w:rPr>
            </w:pPr>
          </w:p>
        </w:tc>
      </w:tr>
      <w:tr>
        <w:tblPrEx>
          <w:tblCellMar>
            <w:top w:w="0" w:type="dxa"/>
            <w:left w:w="108" w:type="dxa"/>
            <w:bottom w:w="0" w:type="dxa"/>
            <w:right w:w="108" w:type="dxa"/>
          </w:tblCellMar>
        </w:tblPrEx>
        <w:trPr>
          <w:trHeight w:val="1440" w:hRule="atLeast"/>
          <w:jc w:val="center"/>
        </w:trPr>
        <w:tc>
          <w:tcPr>
            <w:tcW w:w="5000" w:type="pct"/>
            <w:tcBorders>
              <w:bottom w:val="single" w:color="4F81BD" w:sz="4" w:space="0"/>
            </w:tcBorders>
            <w:noWrap w:val="0"/>
            <w:vAlign w:val="center"/>
          </w:tcPr>
          <w:p>
            <w:pPr>
              <w:pStyle w:val="12"/>
              <w:jc w:val="center"/>
              <w:rPr>
                <w:rFonts w:hint="eastAsia" w:ascii="Cambria" w:hAnsi="Cambria"/>
                <w:b/>
                <w:sz w:val="80"/>
                <w:szCs w:val="80"/>
                <w:lang w:val="en-US" w:eastAsia="zh-CN"/>
              </w:rPr>
            </w:pPr>
            <w:r>
              <w:rPr>
                <w:rFonts w:hint="eastAsia" w:ascii="Cambria" w:hAnsi="Cambria"/>
                <w:b/>
                <w:sz w:val="80"/>
                <w:szCs w:val="80"/>
                <w:lang w:val="en-US" w:eastAsia="zh-CN"/>
              </w:rPr>
              <w:t>湟源县交通运输综合</w:t>
            </w:r>
          </w:p>
          <w:p>
            <w:pPr>
              <w:pStyle w:val="12"/>
              <w:jc w:val="center"/>
              <w:rPr>
                <w:rFonts w:ascii="Cambria" w:hAnsi="Cambria"/>
                <w:b/>
                <w:sz w:val="80"/>
                <w:szCs w:val="80"/>
              </w:rPr>
            </w:pPr>
            <w:r>
              <w:rPr>
                <w:rFonts w:hint="eastAsia" w:ascii="Cambria" w:hAnsi="Cambria"/>
                <w:b/>
                <w:sz w:val="80"/>
                <w:szCs w:val="80"/>
                <w:lang w:val="en-US" w:eastAsia="zh-CN"/>
              </w:rPr>
              <w:t>行政执法大队</w:t>
            </w:r>
          </w:p>
        </w:tc>
      </w:tr>
      <w:tr>
        <w:tblPrEx>
          <w:tblCellMar>
            <w:top w:w="0" w:type="dxa"/>
            <w:left w:w="108" w:type="dxa"/>
            <w:bottom w:w="0" w:type="dxa"/>
            <w:right w:w="108" w:type="dxa"/>
          </w:tblCellMar>
        </w:tblPrEx>
        <w:trPr>
          <w:trHeight w:val="720" w:hRule="atLeast"/>
          <w:jc w:val="center"/>
        </w:trPr>
        <w:tc>
          <w:tcPr>
            <w:tcW w:w="5000" w:type="pct"/>
            <w:tcBorders>
              <w:top w:val="single" w:color="4F81BD" w:sz="4" w:space="0"/>
            </w:tcBorders>
            <w:noWrap w:val="0"/>
            <w:vAlign w:val="center"/>
          </w:tcPr>
          <w:p>
            <w:pPr>
              <w:pStyle w:val="12"/>
              <w:jc w:val="center"/>
              <w:rPr>
                <w:rFonts w:ascii="Cambria" w:hAnsi="Cambria"/>
                <w:sz w:val="44"/>
                <w:szCs w:val="44"/>
              </w:rPr>
            </w:pPr>
          </w:p>
        </w:tc>
      </w:tr>
      <w:tr>
        <w:tblPrEx>
          <w:tblCellMar>
            <w:top w:w="0" w:type="dxa"/>
            <w:left w:w="108" w:type="dxa"/>
            <w:bottom w:w="0" w:type="dxa"/>
            <w:right w:w="108" w:type="dxa"/>
          </w:tblCellMar>
        </w:tblPrEx>
        <w:trPr>
          <w:trHeight w:val="360" w:hRule="atLeast"/>
          <w:jc w:val="center"/>
        </w:trPr>
        <w:tc>
          <w:tcPr>
            <w:tcW w:w="5000" w:type="pct"/>
            <w:noWrap w:val="0"/>
            <w:vAlign w:val="center"/>
          </w:tcPr>
          <w:p>
            <w:pPr>
              <w:pStyle w:val="12"/>
              <w:jc w:val="center"/>
            </w:pPr>
          </w:p>
        </w:tc>
      </w:tr>
    </w:tbl>
    <w:p/>
    <w:tbl>
      <w:tblPr>
        <w:tblStyle w:val="5"/>
        <w:tblpPr w:leftFromText="187" w:rightFromText="187" w:horzAnchor="margin" w:tblpXSpec="center" w:tblpYSpec="bottom"/>
        <w:tblW w:w="5000" w:type="pct"/>
        <w:tblInd w:w="0" w:type="dxa"/>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c>
          <w:tcPr>
            <w:tcW w:w="5000" w:type="pct"/>
            <w:noWrap w:val="0"/>
            <w:vAlign w:val="top"/>
          </w:tcPr>
          <w:p>
            <w:pPr>
              <w:pStyle w:val="12"/>
            </w:pPr>
          </w:p>
        </w:tc>
      </w:tr>
    </w:tbl>
    <w:p>
      <w:pPr>
        <w:jc w:val="center"/>
        <w:rPr>
          <w:rFonts w:hint="eastAsia" w:ascii="华文琥珀" w:hAnsi="楷体" w:eastAsia="华文琥珀"/>
          <w:sz w:val="84"/>
          <w:szCs w:val="84"/>
        </w:rPr>
      </w:pPr>
      <w:r>
        <w:rPr>
          <w:rFonts w:hint="eastAsia" w:ascii="华文琥珀" w:hAnsi="楷体" w:eastAsia="华文琥珀"/>
          <w:sz w:val="84"/>
          <w:szCs w:val="84"/>
          <w:lang w:val="en-US" w:eastAsia="zh-CN"/>
        </w:rPr>
        <w:t>2023</w:t>
      </w:r>
      <w:r>
        <w:rPr>
          <w:rFonts w:hint="eastAsia" w:ascii="华文琥珀" w:hAnsi="楷体" w:eastAsia="华文琥珀"/>
          <w:sz w:val="84"/>
          <w:szCs w:val="84"/>
          <w:lang w:val="zh-CN"/>
        </w:rPr>
        <w:t>年部门预算</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adjustRightInd w:val="0"/>
        <w:snapToGrid w:val="0"/>
        <w:spacing w:line="560" w:lineRule="exact"/>
        <w:jc w:val="center"/>
        <w:rPr>
          <w:rFonts w:hint="eastAsia" w:ascii="仿宋" w:hAnsi="仿宋" w:eastAsia="仿宋"/>
          <w:color w:val="000000"/>
          <w:sz w:val="32"/>
          <w:szCs w:val="32"/>
        </w:rPr>
      </w:pPr>
    </w:p>
    <w:p>
      <w:pPr>
        <w:adjustRightInd w:val="0"/>
        <w:snapToGrid w:val="0"/>
        <w:spacing w:line="560" w:lineRule="exact"/>
        <w:ind w:firstLine="720" w:firstLineChars="200"/>
        <w:jc w:val="center"/>
        <w:rPr>
          <w:rFonts w:hint="eastAsia"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hint="eastAsia" w:ascii="小标宋" w:eastAsia="小标宋"/>
          <w:color w:val="000000"/>
          <w:sz w:val="36"/>
          <w:szCs w:val="36"/>
        </w:rPr>
      </w:pP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第一部分  </w:t>
      </w:r>
      <w:r>
        <w:rPr>
          <w:rFonts w:hint="eastAsia" w:ascii="宋体" w:hAnsi="宋体"/>
          <w:b/>
          <w:color w:val="000000"/>
          <w:sz w:val="32"/>
          <w:szCs w:val="32"/>
          <w:lang w:eastAsia="zh-CN"/>
        </w:rPr>
        <w:t>部门</w:t>
      </w:r>
      <w:r>
        <w:rPr>
          <w:rFonts w:hint="eastAsia" w:ascii="宋体" w:hAnsi="宋体"/>
          <w:b/>
          <w:color w:val="000000"/>
          <w:sz w:val="32"/>
          <w:szCs w:val="32"/>
        </w:rPr>
        <w:t>概况</w:t>
      </w:r>
      <w:r>
        <w:rPr>
          <w:rFonts w:hint="eastAsia" w:ascii="宋体" w:hAnsi="宋体"/>
          <w:b/>
          <w:i/>
          <w:color w:val="000000"/>
          <w:sz w:val="32"/>
          <w:szCs w:val="32"/>
        </w:rPr>
        <w:t xml:space="preserve"> </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hint="eastAsia" w:ascii="仿宋_GB2312" w:eastAsia="仿宋_GB2312"/>
          <w:color w:val="000000"/>
          <w:sz w:val="30"/>
          <w:szCs w:val="30"/>
          <w:lang w:eastAsia="zh-CN"/>
        </w:rPr>
      </w:pPr>
      <w:r>
        <w:rPr>
          <w:rFonts w:hint="eastAsia" w:ascii="仿宋_GB2312" w:eastAsia="仿宋_GB2312"/>
          <w:color w:val="000000"/>
          <w:sz w:val="30"/>
          <w:szCs w:val="30"/>
        </w:rPr>
        <w:t>二、</w:t>
      </w:r>
      <w:r>
        <w:rPr>
          <w:rFonts w:hint="eastAsia" w:ascii="仿宋_GB2312" w:eastAsia="仿宋_GB2312"/>
          <w:color w:val="000000"/>
          <w:sz w:val="30"/>
          <w:szCs w:val="30"/>
          <w:lang w:eastAsia="zh-CN"/>
        </w:rPr>
        <w:t>机构设置</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lang w:eastAsia="zh-CN"/>
        </w:rPr>
        <w:t>三</w:t>
      </w:r>
      <w:r>
        <w:rPr>
          <w:rFonts w:hint="eastAsia" w:ascii="仿宋_GB2312" w:eastAsia="仿宋_GB2312"/>
          <w:color w:val="000000"/>
          <w:sz w:val="30"/>
          <w:szCs w:val="30"/>
        </w:rPr>
        <w:t>、</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预算</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构成</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第二部分  </w:t>
      </w:r>
      <w:r>
        <w:rPr>
          <w:rFonts w:hint="eastAsia" w:ascii="宋体" w:hAnsi="宋体"/>
          <w:b/>
          <w:color w:val="000000"/>
          <w:sz w:val="32"/>
          <w:szCs w:val="32"/>
          <w:lang w:eastAsia="zh-CN"/>
        </w:rPr>
        <w:t>部门</w:t>
      </w:r>
      <w:r>
        <w:rPr>
          <w:rFonts w:hint="eastAsia" w:ascii="宋体" w:hAnsi="宋体"/>
          <w:b/>
          <w:color w:val="000000"/>
          <w:sz w:val="32"/>
          <w:szCs w:val="32"/>
        </w:rPr>
        <w:t>预算表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第三部分 </w:t>
      </w:r>
      <w:r>
        <w:rPr>
          <w:rFonts w:ascii="宋体" w:hAnsi="宋体"/>
          <w:b/>
          <w:color w:val="000000"/>
          <w:sz w:val="32"/>
          <w:szCs w:val="32"/>
        </w:rPr>
        <w:t xml:space="preserve"> </w:t>
      </w:r>
      <w:r>
        <w:rPr>
          <w:rFonts w:hint="eastAsia" w:ascii="宋体" w:hAnsi="宋体"/>
          <w:b/>
          <w:color w:val="000000"/>
          <w:sz w:val="32"/>
          <w:szCs w:val="32"/>
          <w:lang w:eastAsia="zh-CN"/>
        </w:rPr>
        <w:t>部门</w:t>
      </w:r>
      <w:r>
        <w:rPr>
          <w:rFonts w:hint="eastAsia" w:ascii="宋体" w:hAnsi="宋体"/>
          <w:b/>
          <w:color w:val="000000"/>
          <w:sz w:val="32"/>
          <w:szCs w:val="32"/>
        </w:rPr>
        <w:t>预算情况说明</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第四部分 </w:t>
      </w:r>
      <w:r>
        <w:rPr>
          <w:rFonts w:ascii="宋体" w:hAnsi="宋体"/>
          <w:b/>
          <w:color w:val="000000"/>
          <w:sz w:val="32"/>
          <w:szCs w:val="32"/>
        </w:rPr>
        <w:t xml:space="preserve"> </w:t>
      </w:r>
      <w:r>
        <w:rPr>
          <w:rFonts w:hint="eastAsia" w:ascii="宋体" w:hAnsi="宋体"/>
          <w:b/>
          <w:color w:val="000000"/>
          <w:sz w:val="32"/>
          <w:szCs w:val="32"/>
        </w:rPr>
        <w:t>名词解释</w:t>
      </w: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jc w:val="both"/>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第一部分　</w:t>
      </w:r>
      <w:r>
        <w:rPr>
          <w:rFonts w:hint="eastAsia" w:ascii="小标宋" w:eastAsia="小标宋"/>
          <w:b/>
          <w:color w:val="000000"/>
          <w:sz w:val="36"/>
          <w:szCs w:val="36"/>
          <w:lang w:eastAsia="zh-CN"/>
        </w:rPr>
        <w:t>部门</w:t>
      </w:r>
      <w:r>
        <w:rPr>
          <w:rFonts w:hint="eastAsia" w:ascii="小标宋" w:eastAsia="小标宋"/>
          <w:b/>
          <w:color w:val="000000"/>
          <w:sz w:val="36"/>
          <w:szCs w:val="36"/>
        </w:rPr>
        <w:t>概况</w: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一、主要职能</w:t>
      </w:r>
    </w:p>
    <w:p>
      <w:pPr>
        <w:ind w:firstLine="640" w:firstLineChars="200"/>
        <w:rPr>
          <w:rFonts w:hint="eastAsia" w:ascii="仿宋_GB2312" w:eastAsia="仿宋_GB2312"/>
          <w:sz w:val="32"/>
          <w:szCs w:val="32"/>
        </w:rPr>
      </w:pPr>
      <w:r>
        <w:rPr>
          <w:rFonts w:hint="eastAsia" w:ascii="仿宋_GB2312" w:eastAsia="仿宋_GB2312"/>
          <w:sz w:val="32"/>
          <w:szCs w:val="32"/>
        </w:rPr>
        <w:t>负责全县道路旅客运输、货物运输、水路运输、机动车维修、汽车综合性能检测和机动车驾驶员培训、客货运输站场运营等行政执法工作;负责受理全县道路货运车辆超限超载源头治理和道路水路运输安全源头监管工作;负责全县农村公路、公路用地和公路附属设施的行政执法工作;负责全县农村公路的超限运输车辆治理工作；配合公路养护部门处置公路突发应急事件和灾害事故;参与全县农村公路的公路工程交工、竣工验收;负责全县海事行政执法工作。</w:t>
      </w:r>
    </w:p>
    <w:p>
      <w:pPr>
        <w:adjustRightInd w:val="0"/>
        <w:snapToGrid w:val="0"/>
        <w:spacing w:line="560" w:lineRule="exact"/>
        <w:ind w:firstLine="640" w:firstLineChars="200"/>
        <w:rPr>
          <w:rFonts w:hint="eastAsia" w:ascii="黑体" w:hAnsi="宋体" w:eastAsia="黑体"/>
          <w:color w:val="000000"/>
          <w:sz w:val="32"/>
          <w:szCs w:val="32"/>
          <w:lang w:eastAsia="zh-CN"/>
        </w:rPr>
      </w:pPr>
      <w:r>
        <w:rPr>
          <w:rFonts w:hint="eastAsia" w:ascii="黑体" w:hAnsi="宋体" w:eastAsia="黑体"/>
          <w:color w:val="000000"/>
          <w:sz w:val="32"/>
          <w:szCs w:val="32"/>
          <w:lang w:eastAsia="zh-CN"/>
        </w:rPr>
        <w:t>二</w:t>
      </w:r>
      <w:r>
        <w:rPr>
          <w:rFonts w:hint="eastAsia" w:ascii="黑体" w:hAnsi="宋体" w:eastAsia="黑体"/>
          <w:color w:val="000000"/>
          <w:sz w:val="32"/>
          <w:szCs w:val="32"/>
        </w:rPr>
        <w:t>、</w:t>
      </w:r>
      <w:r>
        <w:rPr>
          <w:rFonts w:hint="eastAsia" w:ascii="黑体" w:hAnsi="宋体" w:eastAsia="黑体"/>
          <w:color w:val="000000"/>
          <w:sz w:val="32"/>
          <w:szCs w:val="32"/>
          <w:lang w:eastAsia="zh-CN"/>
        </w:rPr>
        <w:t>机构设置</w:t>
      </w:r>
    </w:p>
    <w:p>
      <w:pPr>
        <w:ind w:firstLine="640" w:firstLineChars="200"/>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年度预算编制范围</w:t>
      </w:r>
      <w:r>
        <w:rPr>
          <w:rFonts w:hint="eastAsia" w:ascii="仿宋_GB2312" w:eastAsia="仿宋_GB2312"/>
          <w:sz w:val="32"/>
          <w:szCs w:val="32"/>
          <w:lang w:eastAsia="zh-CN"/>
        </w:rPr>
        <w:t>二</w:t>
      </w:r>
      <w:r>
        <w:rPr>
          <w:rFonts w:hint="eastAsia" w:ascii="仿宋_GB2312" w:eastAsia="仿宋_GB2312"/>
          <w:sz w:val="32"/>
          <w:szCs w:val="32"/>
        </w:rPr>
        <w:t>级预算单位1个。下办公室、</w:t>
      </w:r>
      <w:r>
        <w:rPr>
          <w:rFonts w:hint="eastAsia" w:ascii="仿宋_GB2312" w:eastAsia="仿宋_GB2312"/>
          <w:sz w:val="32"/>
          <w:szCs w:val="32"/>
          <w:lang w:eastAsia="zh-CN"/>
        </w:rPr>
        <w:t>办证中心</w:t>
      </w:r>
      <w:r>
        <w:rPr>
          <w:rFonts w:hint="eastAsia" w:ascii="仿宋_GB2312" w:eastAsia="仿宋_GB2312"/>
          <w:sz w:val="32"/>
          <w:szCs w:val="32"/>
        </w:rPr>
        <w:t>、财务室、</w:t>
      </w:r>
      <w:r>
        <w:rPr>
          <w:rFonts w:hint="eastAsia" w:ascii="仿宋_GB2312" w:eastAsia="仿宋_GB2312"/>
          <w:sz w:val="32"/>
          <w:szCs w:val="32"/>
          <w:lang w:eastAsia="zh-CN"/>
        </w:rPr>
        <w:t>四个执法中队</w:t>
      </w:r>
      <w:r>
        <w:rPr>
          <w:rFonts w:hint="eastAsia" w:ascii="仿宋_GB2312" w:eastAsia="仿宋_GB2312"/>
          <w:sz w:val="32"/>
          <w:szCs w:val="32"/>
        </w:rPr>
        <w:t>。</w: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lang w:eastAsia="zh-CN"/>
        </w:rPr>
        <w:t>三</w:t>
      </w:r>
      <w:r>
        <w:rPr>
          <w:rFonts w:hint="eastAsia" w:ascii="黑体" w:hAnsi="宋体" w:eastAsia="黑体"/>
          <w:color w:val="000000"/>
          <w:sz w:val="32"/>
          <w:szCs w:val="32"/>
        </w:rPr>
        <w:t>、</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预算</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构成</w:t>
      </w:r>
    </w:p>
    <w:p>
      <w:pPr>
        <w:ind w:firstLine="640" w:firstLineChars="200"/>
        <w:rPr>
          <w:rFonts w:hint="eastAsia" w:ascii="仿宋_GB2312" w:eastAsia="仿宋_GB2312"/>
          <w:sz w:val="32"/>
          <w:szCs w:val="32"/>
        </w:rPr>
      </w:pPr>
      <w:r>
        <w:rPr>
          <w:rFonts w:hint="eastAsia" w:ascii="仿宋_GB2312" w:eastAsia="仿宋_GB2312"/>
          <w:sz w:val="32"/>
          <w:szCs w:val="32"/>
        </w:rPr>
        <w:t>纳入湟源县交通运输综合行政执法大队</w:t>
      </w:r>
      <w:r>
        <w:rPr>
          <w:rFonts w:hint="eastAsia" w:ascii="仿宋_GB2312" w:eastAsia="仿宋_GB2312"/>
          <w:sz w:val="32"/>
          <w:szCs w:val="32"/>
          <w:lang w:val="en-US" w:eastAsia="zh-CN"/>
        </w:rPr>
        <w:t>2023</w:t>
      </w:r>
      <w:r>
        <w:rPr>
          <w:rFonts w:hint="eastAsia" w:ascii="仿宋_GB2312" w:eastAsia="仿宋_GB2312"/>
          <w:sz w:val="32"/>
          <w:szCs w:val="32"/>
        </w:rPr>
        <w:t>年</w:t>
      </w:r>
      <w:r>
        <w:rPr>
          <w:rFonts w:hint="eastAsia" w:ascii="仿宋_GB2312" w:eastAsia="仿宋_GB2312"/>
          <w:sz w:val="32"/>
          <w:szCs w:val="32"/>
          <w:lang w:eastAsia="zh-CN"/>
        </w:rPr>
        <w:t>部门</w:t>
      </w:r>
      <w:r>
        <w:rPr>
          <w:rFonts w:hint="eastAsia" w:ascii="仿宋_GB2312" w:eastAsia="仿宋_GB2312"/>
          <w:sz w:val="32"/>
          <w:szCs w:val="32"/>
        </w:rPr>
        <w:t>预算编制范围的二级预算</w:t>
      </w:r>
      <w:r>
        <w:rPr>
          <w:rFonts w:hint="eastAsia" w:ascii="仿宋_GB2312" w:eastAsia="仿宋_GB2312"/>
          <w:sz w:val="32"/>
          <w:szCs w:val="32"/>
          <w:lang w:eastAsia="zh-CN"/>
        </w:rPr>
        <w:t>部门</w:t>
      </w:r>
      <w:r>
        <w:rPr>
          <w:rFonts w:hint="eastAsia" w:ascii="仿宋_GB2312" w:eastAsia="仿宋_GB2312"/>
          <w:sz w:val="32"/>
          <w:szCs w:val="32"/>
        </w:rPr>
        <w:t>包括：</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6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ind w:firstLine="160" w:firstLineChars="50"/>
              <w:rPr>
                <w:rFonts w:hint="eastAsia" w:ascii="仿宋_GB2312" w:eastAsia="仿宋_GB2312"/>
                <w:sz w:val="32"/>
                <w:szCs w:val="32"/>
              </w:rPr>
            </w:pPr>
            <w:r>
              <w:rPr>
                <w:rFonts w:hint="eastAsia" w:ascii="仿宋_GB2312" w:eastAsia="仿宋_GB2312"/>
                <w:sz w:val="32"/>
                <w:szCs w:val="32"/>
              </w:rPr>
              <w:t>序号</w:t>
            </w:r>
          </w:p>
        </w:tc>
        <w:tc>
          <w:tcPr>
            <w:tcW w:w="6328" w:type="dxa"/>
            <w:noWrap w:val="0"/>
            <w:vAlign w:val="top"/>
          </w:tcPr>
          <w:p>
            <w:pPr>
              <w:jc w:val="center"/>
              <w:rPr>
                <w:rFonts w:hint="eastAsia" w:ascii="仿宋_GB2312" w:eastAsia="仿宋_GB2312"/>
                <w:sz w:val="32"/>
                <w:szCs w:val="32"/>
                <w:lang w:eastAsia="zh-CN"/>
              </w:rPr>
            </w:pPr>
            <w:r>
              <w:rPr>
                <w:rFonts w:hint="eastAsia" w:ascii="仿宋_GB2312" w:eastAsia="仿宋_GB2312"/>
                <w:sz w:val="32"/>
                <w:szCs w:val="32"/>
                <w:lang w:eastAsia="zh-CN"/>
              </w:rPr>
              <w:t>部门名称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jc w:val="center"/>
              <w:rPr>
                <w:rFonts w:hint="eastAsia" w:ascii="仿宋_GB2312" w:eastAsia="仿宋_GB2312"/>
                <w:sz w:val="32"/>
                <w:szCs w:val="32"/>
              </w:rPr>
            </w:pPr>
            <w:r>
              <w:rPr>
                <w:rFonts w:hint="eastAsia" w:ascii="仿宋_GB2312" w:eastAsia="仿宋_GB2312"/>
                <w:sz w:val="32"/>
                <w:szCs w:val="32"/>
              </w:rPr>
              <w:t>1</w:t>
            </w:r>
          </w:p>
        </w:tc>
        <w:tc>
          <w:tcPr>
            <w:tcW w:w="6328" w:type="dxa"/>
            <w:noWrap w:val="0"/>
            <w:vAlign w:val="top"/>
          </w:tcPr>
          <w:p>
            <w:pPr>
              <w:jc w:val="center"/>
              <w:rPr>
                <w:rFonts w:hint="eastAsia" w:ascii="仿宋_GB2312" w:eastAsia="仿宋_GB2312"/>
                <w:sz w:val="32"/>
                <w:szCs w:val="32"/>
                <w:lang w:eastAsia="zh-CN"/>
              </w:rPr>
            </w:pPr>
            <w:r>
              <w:rPr>
                <w:rFonts w:hint="eastAsia" w:ascii="仿宋_GB2312" w:eastAsia="仿宋_GB2312"/>
                <w:sz w:val="32"/>
                <w:szCs w:val="32"/>
                <w:lang w:val="en-US" w:eastAsia="zh-CN"/>
              </w:rPr>
              <w:t>无</w:t>
            </w:r>
          </w:p>
        </w:tc>
      </w:tr>
    </w:tbl>
    <w:p>
      <w:pPr>
        <w:adjustRightInd w:val="0"/>
        <w:snapToGrid w:val="0"/>
        <w:spacing w:line="560" w:lineRule="exact"/>
        <w:jc w:val="both"/>
        <w:rPr>
          <w:rFonts w:hint="eastAsia" w:ascii="仿宋_GB2312" w:eastAsia="仿宋_GB2312"/>
          <w:color w:val="000000"/>
          <w:sz w:val="30"/>
          <w:szCs w:val="30"/>
        </w:rPr>
      </w:pPr>
    </w:p>
    <w:p>
      <w:pPr>
        <w:rPr>
          <w:rFonts w:hint="eastAsia" w:ascii="小标宋" w:eastAsia="小标宋"/>
          <w:b/>
          <w:color w:val="000000"/>
          <w:sz w:val="36"/>
          <w:szCs w:val="36"/>
        </w:rPr>
      </w:pPr>
      <w:r>
        <w:rPr>
          <w:rFonts w:hint="eastAsia"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 xml:space="preserve">第二部分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预算表</w:t>
      </w:r>
    </w:p>
    <w:tbl>
      <w:tblPr>
        <w:tblStyle w:val="5"/>
        <w:tblW w:w="9870" w:type="dxa"/>
        <w:jc w:val="center"/>
        <w:tblLayout w:type="autofit"/>
        <w:tblCellMar>
          <w:top w:w="0" w:type="dxa"/>
          <w:left w:w="108" w:type="dxa"/>
          <w:bottom w:w="0" w:type="dxa"/>
          <w:right w:w="108" w:type="dxa"/>
        </w:tblCellMar>
      </w:tblPr>
      <w:tblGrid>
        <w:gridCol w:w="3885"/>
        <w:gridCol w:w="1575"/>
        <w:gridCol w:w="2835"/>
        <w:gridCol w:w="1575"/>
      </w:tblGrid>
      <w:tr>
        <w:tblPrEx>
          <w:tblCellMar>
            <w:top w:w="0" w:type="dxa"/>
            <w:left w:w="108" w:type="dxa"/>
            <w:bottom w:w="0" w:type="dxa"/>
            <w:right w:w="108" w:type="dxa"/>
          </w:tblCellMar>
        </w:tblPrEx>
        <w:trPr>
          <w:trHeight w:val="90" w:hRule="atLeast"/>
          <w:jc w:val="center"/>
        </w:trPr>
        <w:tc>
          <w:tcPr>
            <w:tcW w:w="9870" w:type="dxa"/>
            <w:gridSpan w:val="4"/>
            <w:tcBorders>
              <w:top w:val="nil"/>
              <w:left w:val="nil"/>
              <w:bottom w:val="nil"/>
              <w:right w:val="nil"/>
            </w:tcBorders>
            <w:noWrap w:val="0"/>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1</w:t>
            </w:r>
          </w:p>
        </w:tc>
      </w:tr>
      <w:tr>
        <w:tblPrEx>
          <w:tblCellMar>
            <w:top w:w="0" w:type="dxa"/>
            <w:left w:w="108" w:type="dxa"/>
            <w:bottom w:w="0" w:type="dxa"/>
            <w:right w:w="108" w:type="dxa"/>
          </w:tblCellMar>
        </w:tblPrEx>
        <w:trPr>
          <w:trHeight w:val="702" w:hRule="atLeast"/>
          <w:jc w:val="center"/>
        </w:trPr>
        <w:tc>
          <w:tcPr>
            <w:tcW w:w="9870" w:type="dxa"/>
            <w:gridSpan w:val="4"/>
            <w:tcBorders>
              <w:top w:val="nil"/>
              <w:left w:val="nil"/>
              <w:bottom w:val="nil"/>
              <w:right w:val="nil"/>
            </w:tcBorders>
            <w:shd w:val="clear" w:color="auto" w:fill="FFFFFF"/>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blPrEx>
          <w:tblCellMar>
            <w:top w:w="0" w:type="dxa"/>
            <w:left w:w="108" w:type="dxa"/>
            <w:bottom w:w="0" w:type="dxa"/>
            <w:right w:w="108" w:type="dxa"/>
          </w:tblCellMar>
        </w:tblPrEx>
        <w:trPr>
          <w:trHeight w:val="402" w:hRule="atLeast"/>
          <w:jc w:val="center"/>
        </w:trPr>
        <w:tc>
          <w:tcPr>
            <w:tcW w:w="9870" w:type="dxa"/>
            <w:gridSpan w:val="4"/>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rPr>
          <w:trHeight w:val="152" w:hRule="atLeast"/>
          <w:jc w:val="center"/>
        </w:trPr>
        <w:tc>
          <w:tcPr>
            <w:tcW w:w="54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41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134" w:hRule="atLeast"/>
          <w:jc w:val="center"/>
        </w:trPr>
        <w:tc>
          <w:tcPr>
            <w:tcW w:w="38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28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900.55</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二、政府性基金预算拨款收入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三、国有资本经营预算拨款收入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四、财政专户管理资金收入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五、事业收入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六、上级补助收入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七、附属单位上缴收入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八、事业单位经营收入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153.17</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九、其他收入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79.22</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609.23</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60.94</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本年收入合计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900.55</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902.55</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上年结转</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2.00</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收入总计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902.55</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902.55</w:t>
            </w:r>
          </w:p>
        </w:tc>
      </w:tr>
    </w:tbl>
    <w:p>
      <w:pPr>
        <w:rPr>
          <w:rFonts w:hint="eastAsia" w:ascii="仿宋_GB2312" w:eastAsia="仿宋_GB2312"/>
          <w:sz w:val="32"/>
          <w:szCs w:val="32"/>
          <w:lang w:val="en-US" w:eastAsia="zh-CN"/>
        </w:rPr>
      </w:pPr>
    </w:p>
    <w:tbl>
      <w:tblPr>
        <w:tblStyle w:val="5"/>
        <w:tblpPr w:leftFromText="180" w:rightFromText="180" w:vertAnchor="text" w:horzAnchor="page" w:tblpXSpec="center" w:tblpY="618"/>
        <w:tblOverlap w:val="never"/>
        <w:tblW w:w="11068" w:type="dxa"/>
        <w:jc w:val="center"/>
        <w:tblLayout w:type="fixed"/>
        <w:tblCellMar>
          <w:top w:w="0" w:type="dxa"/>
          <w:left w:w="108" w:type="dxa"/>
          <w:bottom w:w="0" w:type="dxa"/>
          <w:right w:w="108" w:type="dxa"/>
        </w:tblCellMar>
      </w:tblPr>
      <w:tblGrid>
        <w:gridCol w:w="1079"/>
        <w:gridCol w:w="1011"/>
        <w:gridCol w:w="967"/>
        <w:gridCol w:w="922"/>
        <w:gridCol w:w="914"/>
        <w:gridCol w:w="914"/>
        <w:gridCol w:w="914"/>
        <w:gridCol w:w="914"/>
        <w:gridCol w:w="914"/>
        <w:gridCol w:w="914"/>
        <w:gridCol w:w="914"/>
        <w:gridCol w:w="691"/>
      </w:tblGrid>
      <w:tr>
        <w:tblPrEx>
          <w:tblCellMar>
            <w:top w:w="0" w:type="dxa"/>
            <w:left w:w="108" w:type="dxa"/>
            <w:bottom w:w="0" w:type="dxa"/>
            <w:right w:w="108" w:type="dxa"/>
          </w:tblCellMar>
        </w:tblPrEx>
        <w:trPr>
          <w:trHeight w:val="392" w:hRule="atLeast"/>
          <w:jc w:val="center"/>
        </w:trPr>
        <w:tc>
          <w:tcPr>
            <w:tcW w:w="11068" w:type="dxa"/>
            <w:gridSpan w:val="12"/>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2</w:t>
            </w:r>
          </w:p>
        </w:tc>
      </w:tr>
      <w:tr>
        <w:tblPrEx>
          <w:tblCellMar>
            <w:top w:w="0" w:type="dxa"/>
            <w:left w:w="108" w:type="dxa"/>
            <w:bottom w:w="0" w:type="dxa"/>
            <w:right w:w="108" w:type="dxa"/>
          </w:tblCellMar>
        </w:tblPrEx>
        <w:trPr>
          <w:trHeight w:val="767" w:hRule="atLeast"/>
          <w:jc w:val="center"/>
        </w:trPr>
        <w:tc>
          <w:tcPr>
            <w:tcW w:w="11068"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blPrEx>
          <w:tblCellMar>
            <w:top w:w="0" w:type="dxa"/>
            <w:left w:w="108" w:type="dxa"/>
            <w:bottom w:w="0" w:type="dxa"/>
            <w:right w:w="108" w:type="dxa"/>
          </w:tblCellMar>
        </w:tblPrEx>
        <w:trPr>
          <w:trHeight w:val="340" w:hRule="atLeast"/>
          <w:jc w:val="center"/>
        </w:trPr>
        <w:tc>
          <w:tcPr>
            <w:tcW w:w="11068" w:type="dxa"/>
            <w:gridSpan w:val="12"/>
            <w:tcBorders>
              <w:top w:val="nil"/>
              <w:left w:val="nil"/>
              <w:bottom w:val="single" w:color="auto" w:sz="4" w:space="0"/>
              <w:right w:val="nil"/>
            </w:tcBorders>
            <w:noWrap w:val="0"/>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blPrEx>
          <w:tblCellMar>
            <w:top w:w="0" w:type="dxa"/>
            <w:left w:w="108" w:type="dxa"/>
            <w:bottom w:w="0" w:type="dxa"/>
            <w:right w:w="108" w:type="dxa"/>
          </w:tblCellMar>
        </w:tblPrEx>
        <w:trPr>
          <w:trHeight w:val="2004" w:hRule="atLeast"/>
          <w:jc w:val="center"/>
        </w:trPr>
        <w:tc>
          <w:tcPr>
            <w:tcW w:w="10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预算部门</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9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cs="宋体"/>
                <w:b/>
                <w:bCs/>
                <w:color w:val="000000"/>
                <w:kern w:val="0"/>
                <w:sz w:val="22"/>
                <w:szCs w:val="22"/>
              </w:rPr>
              <w:t>一般公共预算拨款收入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政府性基金预算拨款收入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上缴收入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经营收入</w:t>
            </w:r>
          </w:p>
        </w:tc>
        <w:tc>
          <w:tcPr>
            <w:tcW w:w="6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CellMar>
            <w:top w:w="0" w:type="dxa"/>
            <w:left w:w="108" w:type="dxa"/>
            <w:bottom w:w="0" w:type="dxa"/>
            <w:right w:w="108" w:type="dxa"/>
          </w:tblCellMar>
        </w:tblPrEx>
        <w:trPr>
          <w:trHeight w:val="2004" w:hRule="atLeast"/>
          <w:jc w:val="center"/>
        </w:trPr>
        <w:tc>
          <w:tcPr>
            <w:tcW w:w="107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p>
        </w:tc>
        <w:tc>
          <w:tcPr>
            <w:tcW w:w="101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902.55</w:t>
            </w:r>
          </w:p>
        </w:tc>
        <w:tc>
          <w:tcPr>
            <w:tcW w:w="96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2.00</w:t>
            </w:r>
          </w:p>
        </w:tc>
        <w:tc>
          <w:tcPr>
            <w:tcW w:w="92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900.55</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69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07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湟源县交通运输局</w:t>
            </w:r>
          </w:p>
        </w:tc>
        <w:tc>
          <w:tcPr>
            <w:tcW w:w="101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902.55</w:t>
            </w:r>
          </w:p>
        </w:tc>
        <w:tc>
          <w:tcPr>
            <w:tcW w:w="96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2.00</w:t>
            </w:r>
          </w:p>
        </w:tc>
        <w:tc>
          <w:tcPr>
            <w:tcW w:w="92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900.55</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69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07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湟源县交通运输综合行政执法大队</w:t>
            </w:r>
          </w:p>
        </w:tc>
        <w:tc>
          <w:tcPr>
            <w:tcW w:w="101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902.55</w:t>
            </w:r>
          </w:p>
        </w:tc>
        <w:tc>
          <w:tcPr>
            <w:tcW w:w="96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2.00</w:t>
            </w:r>
          </w:p>
        </w:tc>
        <w:tc>
          <w:tcPr>
            <w:tcW w:w="92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900.55</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69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5"/>
        <w:tblW w:w="11185" w:type="dxa"/>
        <w:jc w:val="center"/>
        <w:tblLayout w:type="fixed"/>
        <w:tblCellMar>
          <w:top w:w="0" w:type="dxa"/>
          <w:left w:w="108" w:type="dxa"/>
          <w:bottom w:w="0" w:type="dxa"/>
          <w:right w:w="108" w:type="dxa"/>
        </w:tblCellMar>
      </w:tblPr>
      <w:tblGrid>
        <w:gridCol w:w="1100"/>
        <w:gridCol w:w="3933"/>
        <w:gridCol w:w="1025"/>
        <w:gridCol w:w="1025"/>
        <w:gridCol w:w="1025"/>
        <w:gridCol w:w="1025"/>
        <w:gridCol w:w="1025"/>
        <w:gridCol w:w="1027"/>
      </w:tblGrid>
      <w:tr>
        <w:tblPrEx>
          <w:tblCellMar>
            <w:top w:w="0" w:type="dxa"/>
            <w:left w:w="108" w:type="dxa"/>
            <w:bottom w:w="0" w:type="dxa"/>
            <w:right w:w="108" w:type="dxa"/>
          </w:tblCellMar>
        </w:tblPrEx>
        <w:trPr>
          <w:trHeight w:val="187" w:hRule="atLeast"/>
          <w:jc w:val="center"/>
        </w:trPr>
        <w:tc>
          <w:tcPr>
            <w:tcW w:w="11185" w:type="dxa"/>
            <w:gridSpan w:val="8"/>
            <w:tcBorders>
              <w:top w:val="nil"/>
              <w:left w:val="nil"/>
              <w:bottom w:val="nil"/>
              <w:right w:val="nil"/>
            </w:tcBorders>
            <w:noWrap/>
            <w:vAlign w:val="center"/>
          </w:tcPr>
          <w:p>
            <w:pPr>
              <w:widowControl/>
              <w:ind w:right="603"/>
              <w:jc w:val="right"/>
              <w:rPr>
                <w:rFonts w:ascii="宋体" w:hAnsi="宋体" w:cs="宋体"/>
                <w:b/>
                <w:kern w:val="0"/>
                <w:sz w:val="20"/>
              </w:rPr>
            </w:pPr>
            <w:bookmarkStart w:id="0" w:name="RANGE!A1:K38"/>
            <w:bookmarkEnd w:id="0"/>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3</w:t>
            </w:r>
          </w:p>
        </w:tc>
      </w:tr>
      <w:tr>
        <w:tblPrEx>
          <w:tblCellMar>
            <w:top w:w="0" w:type="dxa"/>
            <w:left w:w="108" w:type="dxa"/>
            <w:bottom w:w="0" w:type="dxa"/>
            <w:right w:w="108" w:type="dxa"/>
          </w:tblCellMar>
        </w:tblPrEx>
        <w:trPr>
          <w:trHeight w:val="453" w:hRule="atLeast"/>
          <w:jc w:val="center"/>
        </w:trPr>
        <w:tc>
          <w:tcPr>
            <w:tcW w:w="11185" w:type="dxa"/>
            <w:gridSpan w:val="8"/>
            <w:tcBorders>
              <w:top w:val="nil"/>
              <w:left w:val="nil"/>
              <w:bottom w:val="nil"/>
              <w:right w:val="nil"/>
            </w:tcBorders>
            <w:shd w:val="clear" w:color="auto" w:fill="FFFFFF"/>
            <w:noWrap/>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CellMar>
            <w:top w:w="0" w:type="dxa"/>
            <w:left w:w="108" w:type="dxa"/>
            <w:bottom w:w="0" w:type="dxa"/>
            <w:right w:w="108" w:type="dxa"/>
          </w:tblCellMar>
        </w:tblPrEx>
        <w:trPr>
          <w:trHeight w:val="90" w:hRule="atLeast"/>
          <w:jc w:val="center"/>
        </w:trPr>
        <w:tc>
          <w:tcPr>
            <w:tcW w:w="11185" w:type="dxa"/>
            <w:gridSpan w:val="8"/>
            <w:tcBorders>
              <w:top w:val="nil"/>
              <w:left w:val="nil"/>
              <w:bottom w:val="single" w:color="auto" w:sz="4" w:space="0"/>
              <w:right w:val="nil"/>
            </w:tcBorders>
            <w:shd w:val="clear" w:color="auto" w:fill="FFFFFF"/>
            <w:noWrap/>
            <w:vAlign w:val="center"/>
          </w:tcPr>
          <w:p>
            <w:pPr>
              <w:widowControl/>
              <w:jc w:val="right"/>
              <w:rPr>
                <w:rFonts w:hint="eastAsia" w:ascii="宋体" w:hAnsi="宋体" w:cs="宋体"/>
                <w:b/>
                <w:bCs/>
                <w:kern w:val="0"/>
                <w:sz w:val="20"/>
              </w:rPr>
            </w:pPr>
            <w:r>
              <w:rPr>
                <w:rFonts w:hint="eastAsia" w:ascii="宋体" w:hAnsi="宋体" w:cs="宋体"/>
                <w:b/>
                <w:bCs/>
                <w:kern w:val="0"/>
                <w:sz w:val="20"/>
              </w:rPr>
              <w:t>单位：万元</w:t>
            </w:r>
          </w:p>
        </w:tc>
      </w:tr>
      <w:tr>
        <w:tblPrEx>
          <w:tblCellMar>
            <w:top w:w="0" w:type="dxa"/>
            <w:left w:w="108" w:type="dxa"/>
            <w:bottom w:w="0" w:type="dxa"/>
            <w:right w:w="108" w:type="dxa"/>
          </w:tblCellMar>
        </w:tblPrEx>
        <w:trPr>
          <w:trHeight w:val="705"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393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经营支出</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对附属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补助支出</w:t>
            </w:r>
          </w:p>
        </w:tc>
      </w:tr>
      <w:tr>
        <w:tblPrEx>
          <w:tblCellMar>
            <w:top w:w="0" w:type="dxa"/>
            <w:left w:w="108" w:type="dxa"/>
            <w:bottom w:w="0" w:type="dxa"/>
            <w:right w:w="108" w:type="dxa"/>
          </w:tblCellMar>
        </w:tblPrEx>
        <w:trPr>
          <w:trHeight w:val="324" w:hRule="atLeast"/>
          <w:jc w:val="center"/>
        </w:trPr>
        <w:tc>
          <w:tcPr>
            <w:tcW w:w="5033"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合计</w:t>
            </w:r>
          </w:p>
        </w:tc>
        <w:tc>
          <w:tcPr>
            <w:tcW w:w="10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902.55</w:t>
            </w:r>
          </w:p>
        </w:tc>
        <w:tc>
          <w:tcPr>
            <w:tcW w:w="10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872.55</w:t>
            </w:r>
          </w:p>
        </w:tc>
        <w:tc>
          <w:tcPr>
            <w:tcW w:w="10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30.00</w:t>
            </w:r>
          </w:p>
        </w:tc>
        <w:tc>
          <w:tcPr>
            <w:tcW w:w="10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0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0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w:t>
            </w:r>
          </w:p>
        </w:tc>
        <w:tc>
          <w:tcPr>
            <w:tcW w:w="393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社会保障和就业支出</w:t>
            </w:r>
          </w:p>
        </w:tc>
        <w:tc>
          <w:tcPr>
            <w:tcW w:w="10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153.17</w:t>
            </w:r>
          </w:p>
        </w:tc>
        <w:tc>
          <w:tcPr>
            <w:tcW w:w="10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153.17</w:t>
            </w:r>
          </w:p>
        </w:tc>
        <w:tc>
          <w:tcPr>
            <w:tcW w:w="10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w:t>
            </w:r>
          </w:p>
        </w:tc>
        <w:tc>
          <w:tcPr>
            <w:tcW w:w="393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行政事业单位养老支出</w:t>
            </w:r>
          </w:p>
        </w:tc>
        <w:tc>
          <w:tcPr>
            <w:tcW w:w="10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149.85</w:t>
            </w:r>
          </w:p>
        </w:tc>
        <w:tc>
          <w:tcPr>
            <w:tcW w:w="10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149.85</w:t>
            </w:r>
          </w:p>
        </w:tc>
        <w:tc>
          <w:tcPr>
            <w:tcW w:w="10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2080505</w:t>
            </w:r>
          </w:p>
        </w:tc>
        <w:tc>
          <w:tcPr>
            <w:tcW w:w="393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机关事业单位基本养老保险缴费支出</w:t>
            </w:r>
          </w:p>
        </w:tc>
        <w:tc>
          <w:tcPr>
            <w:tcW w:w="10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69.53</w:t>
            </w:r>
          </w:p>
        </w:tc>
        <w:tc>
          <w:tcPr>
            <w:tcW w:w="10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69.53</w:t>
            </w:r>
          </w:p>
        </w:tc>
        <w:tc>
          <w:tcPr>
            <w:tcW w:w="10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2080506</w:t>
            </w:r>
          </w:p>
        </w:tc>
        <w:tc>
          <w:tcPr>
            <w:tcW w:w="393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机关事业单位职业年金缴费支出</w:t>
            </w:r>
          </w:p>
        </w:tc>
        <w:tc>
          <w:tcPr>
            <w:tcW w:w="10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34.76</w:t>
            </w:r>
          </w:p>
        </w:tc>
        <w:tc>
          <w:tcPr>
            <w:tcW w:w="10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34.76</w:t>
            </w:r>
          </w:p>
        </w:tc>
        <w:tc>
          <w:tcPr>
            <w:tcW w:w="10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2080599</w:t>
            </w:r>
          </w:p>
        </w:tc>
        <w:tc>
          <w:tcPr>
            <w:tcW w:w="393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其他行政事业单位养老支出</w:t>
            </w:r>
          </w:p>
        </w:tc>
        <w:tc>
          <w:tcPr>
            <w:tcW w:w="10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45.57</w:t>
            </w:r>
          </w:p>
        </w:tc>
        <w:tc>
          <w:tcPr>
            <w:tcW w:w="10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45.57</w:t>
            </w:r>
          </w:p>
        </w:tc>
        <w:tc>
          <w:tcPr>
            <w:tcW w:w="10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w:t>
            </w:r>
          </w:p>
        </w:tc>
        <w:tc>
          <w:tcPr>
            <w:tcW w:w="393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0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3.31</w:t>
            </w:r>
          </w:p>
        </w:tc>
        <w:tc>
          <w:tcPr>
            <w:tcW w:w="10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3.31</w:t>
            </w:r>
          </w:p>
        </w:tc>
        <w:tc>
          <w:tcPr>
            <w:tcW w:w="10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2089999</w:t>
            </w:r>
          </w:p>
        </w:tc>
        <w:tc>
          <w:tcPr>
            <w:tcW w:w="393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0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3.31</w:t>
            </w:r>
          </w:p>
        </w:tc>
        <w:tc>
          <w:tcPr>
            <w:tcW w:w="10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3.31</w:t>
            </w:r>
          </w:p>
        </w:tc>
        <w:tc>
          <w:tcPr>
            <w:tcW w:w="10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w:t>
            </w:r>
          </w:p>
        </w:tc>
        <w:tc>
          <w:tcPr>
            <w:tcW w:w="393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卫生健康支出</w:t>
            </w:r>
          </w:p>
        </w:tc>
        <w:tc>
          <w:tcPr>
            <w:tcW w:w="10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79.22</w:t>
            </w:r>
          </w:p>
        </w:tc>
        <w:tc>
          <w:tcPr>
            <w:tcW w:w="10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79.22</w:t>
            </w:r>
          </w:p>
        </w:tc>
        <w:tc>
          <w:tcPr>
            <w:tcW w:w="10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w:t>
            </w:r>
          </w:p>
        </w:tc>
        <w:tc>
          <w:tcPr>
            <w:tcW w:w="393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行政事业单位医疗</w:t>
            </w:r>
          </w:p>
        </w:tc>
        <w:tc>
          <w:tcPr>
            <w:tcW w:w="10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79.22</w:t>
            </w:r>
          </w:p>
        </w:tc>
        <w:tc>
          <w:tcPr>
            <w:tcW w:w="10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79.22</w:t>
            </w:r>
          </w:p>
        </w:tc>
        <w:tc>
          <w:tcPr>
            <w:tcW w:w="10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2101101</w:t>
            </w:r>
          </w:p>
        </w:tc>
        <w:tc>
          <w:tcPr>
            <w:tcW w:w="393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行政单位医疗</w:t>
            </w:r>
          </w:p>
        </w:tc>
        <w:tc>
          <w:tcPr>
            <w:tcW w:w="10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10.50</w:t>
            </w:r>
          </w:p>
        </w:tc>
        <w:tc>
          <w:tcPr>
            <w:tcW w:w="10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10.50</w:t>
            </w:r>
          </w:p>
        </w:tc>
        <w:tc>
          <w:tcPr>
            <w:tcW w:w="10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2101102</w:t>
            </w:r>
          </w:p>
        </w:tc>
        <w:tc>
          <w:tcPr>
            <w:tcW w:w="393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事业单位医疗</w:t>
            </w:r>
          </w:p>
        </w:tc>
        <w:tc>
          <w:tcPr>
            <w:tcW w:w="10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39.32</w:t>
            </w:r>
          </w:p>
        </w:tc>
        <w:tc>
          <w:tcPr>
            <w:tcW w:w="10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39.32</w:t>
            </w:r>
          </w:p>
        </w:tc>
        <w:tc>
          <w:tcPr>
            <w:tcW w:w="10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2101103</w:t>
            </w:r>
          </w:p>
        </w:tc>
        <w:tc>
          <w:tcPr>
            <w:tcW w:w="393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公务员医疗补助</w:t>
            </w:r>
          </w:p>
        </w:tc>
        <w:tc>
          <w:tcPr>
            <w:tcW w:w="10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29.40</w:t>
            </w:r>
          </w:p>
        </w:tc>
        <w:tc>
          <w:tcPr>
            <w:tcW w:w="10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29.40</w:t>
            </w:r>
          </w:p>
        </w:tc>
        <w:tc>
          <w:tcPr>
            <w:tcW w:w="10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214</w:t>
            </w:r>
          </w:p>
        </w:tc>
        <w:tc>
          <w:tcPr>
            <w:tcW w:w="393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交通运输支出</w:t>
            </w:r>
          </w:p>
        </w:tc>
        <w:tc>
          <w:tcPr>
            <w:tcW w:w="10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609.23</w:t>
            </w:r>
          </w:p>
        </w:tc>
        <w:tc>
          <w:tcPr>
            <w:tcW w:w="10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579.22</w:t>
            </w:r>
          </w:p>
        </w:tc>
        <w:tc>
          <w:tcPr>
            <w:tcW w:w="10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30.00</w:t>
            </w:r>
          </w:p>
        </w:tc>
        <w:tc>
          <w:tcPr>
            <w:tcW w:w="10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21401</w:t>
            </w:r>
          </w:p>
        </w:tc>
        <w:tc>
          <w:tcPr>
            <w:tcW w:w="393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公路水路运输</w:t>
            </w:r>
          </w:p>
        </w:tc>
        <w:tc>
          <w:tcPr>
            <w:tcW w:w="10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609.23</w:t>
            </w:r>
          </w:p>
        </w:tc>
        <w:tc>
          <w:tcPr>
            <w:tcW w:w="10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579.22</w:t>
            </w:r>
          </w:p>
        </w:tc>
        <w:tc>
          <w:tcPr>
            <w:tcW w:w="10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30.00</w:t>
            </w:r>
          </w:p>
        </w:tc>
        <w:tc>
          <w:tcPr>
            <w:tcW w:w="10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2140112</w:t>
            </w:r>
          </w:p>
        </w:tc>
        <w:tc>
          <w:tcPr>
            <w:tcW w:w="393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公路运输管理</w:t>
            </w:r>
          </w:p>
        </w:tc>
        <w:tc>
          <w:tcPr>
            <w:tcW w:w="10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607.22</w:t>
            </w:r>
          </w:p>
        </w:tc>
        <w:tc>
          <w:tcPr>
            <w:tcW w:w="10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579.22</w:t>
            </w:r>
          </w:p>
        </w:tc>
        <w:tc>
          <w:tcPr>
            <w:tcW w:w="10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28.00</w:t>
            </w:r>
          </w:p>
        </w:tc>
        <w:tc>
          <w:tcPr>
            <w:tcW w:w="10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2140199</w:t>
            </w:r>
          </w:p>
        </w:tc>
        <w:tc>
          <w:tcPr>
            <w:tcW w:w="393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其他公路水路运输支出</w:t>
            </w:r>
          </w:p>
        </w:tc>
        <w:tc>
          <w:tcPr>
            <w:tcW w:w="10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2.00</w:t>
            </w:r>
          </w:p>
        </w:tc>
        <w:tc>
          <w:tcPr>
            <w:tcW w:w="10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2.00</w:t>
            </w:r>
          </w:p>
        </w:tc>
        <w:tc>
          <w:tcPr>
            <w:tcW w:w="10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w:t>
            </w:r>
          </w:p>
        </w:tc>
        <w:tc>
          <w:tcPr>
            <w:tcW w:w="393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住房保障支出</w:t>
            </w:r>
          </w:p>
        </w:tc>
        <w:tc>
          <w:tcPr>
            <w:tcW w:w="10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60.94</w:t>
            </w:r>
          </w:p>
        </w:tc>
        <w:tc>
          <w:tcPr>
            <w:tcW w:w="10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60.94</w:t>
            </w:r>
          </w:p>
        </w:tc>
        <w:tc>
          <w:tcPr>
            <w:tcW w:w="10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w:t>
            </w:r>
          </w:p>
        </w:tc>
        <w:tc>
          <w:tcPr>
            <w:tcW w:w="393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住房改革支出</w:t>
            </w:r>
          </w:p>
        </w:tc>
        <w:tc>
          <w:tcPr>
            <w:tcW w:w="10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60.94</w:t>
            </w:r>
          </w:p>
        </w:tc>
        <w:tc>
          <w:tcPr>
            <w:tcW w:w="10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60.94</w:t>
            </w:r>
          </w:p>
        </w:tc>
        <w:tc>
          <w:tcPr>
            <w:tcW w:w="10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2210201</w:t>
            </w:r>
          </w:p>
        </w:tc>
        <w:tc>
          <w:tcPr>
            <w:tcW w:w="393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住房公积金</w:t>
            </w:r>
          </w:p>
        </w:tc>
        <w:tc>
          <w:tcPr>
            <w:tcW w:w="10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60.94</w:t>
            </w:r>
          </w:p>
        </w:tc>
        <w:tc>
          <w:tcPr>
            <w:tcW w:w="10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60.94</w:t>
            </w:r>
          </w:p>
        </w:tc>
        <w:tc>
          <w:tcPr>
            <w:tcW w:w="10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bl>
    <w:p>
      <w:r>
        <w:br w:type="page"/>
      </w:r>
    </w:p>
    <w:tbl>
      <w:tblPr>
        <w:tblStyle w:val="5"/>
        <w:tblpPr w:leftFromText="180" w:rightFromText="180" w:vertAnchor="text" w:horzAnchor="page" w:tblpXSpec="center" w:tblpY="183"/>
        <w:tblOverlap w:val="never"/>
        <w:tblW w:w="101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45"/>
        <w:gridCol w:w="1084"/>
        <w:gridCol w:w="2301"/>
        <w:gridCol w:w="1150"/>
        <w:gridCol w:w="1050"/>
        <w:gridCol w:w="1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199" w:type="dxa"/>
            <w:gridSpan w:val="6"/>
            <w:tcBorders>
              <w:top w:val="nil"/>
              <w:left w:val="nil"/>
              <w:bottom w:val="nil"/>
              <w:right w:val="nil"/>
            </w:tcBorders>
            <w:noWrap w:val="0"/>
            <w:vAlign w:val="center"/>
          </w:tcPr>
          <w:p>
            <w:pPr>
              <w:widowControl/>
              <w:ind w:right="201"/>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199" w:type="dxa"/>
            <w:gridSpan w:val="6"/>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199" w:type="dxa"/>
            <w:gridSpan w:val="6"/>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529" w:type="dxa"/>
            <w:gridSpan w:val="2"/>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670" w:type="dxa"/>
            <w:gridSpan w:val="4"/>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45"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1084"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2301"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 xml:space="preserve">项 </w:t>
            </w:r>
            <w:r>
              <w:rPr>
                <w:rFonts w:ascii="宋体" w:hAnsi="宋体" w:cs="宋体"/>
                <w:b/>
                <w:kern w:val="0"/>
                <w:sz w:val="22"/>
                <w:szCs w:val="22"/>
              </w:rPr>
              <w:t xml:space="preserve"> </w:t>
            </w:r>
            <w:r>
              <w:rPr>
                <w:rFonts w:hint="eastAsia" w:ascii="宋体" w:hAnsi="宋体" w:cs="宋体"/>
                <w:b/>
                <w:kern w:val="0"/>
                <w:sz w:val="22"/>
                <w:szCs w:val="22"/>
              </w:rPr>
              <w:t>目</w:t>
            </w:r>
          </w:p>
        </w:tc>
        <w:tc>
          <w:tcPr>
            <w:tcW w:w="1150"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050"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169"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4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一、本年收入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900.55</w:t>
            </w:r>
          </w:p>
        </w:tc>
        <w:tc>
          <w:tcPr>
            <w:tcW w:w="230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一、本年支出</w:t>
            </w:r>
          </w:p>
        </w:tc>
        <w:tc>
          <w:tcPr>
            <w:tcW w:w="115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902.55</w:t>
            </w:r>
          </w:p>
        </w:tc>
        <w:tc>
          <w:tcPr>
            <w:tcW w:w="105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902.55</w:t>
            </w:r>
          </w:p>
        </w:tc>
        <w:tc>
          <w:tcPr>
            <w:tcW w:w="116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4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900.55</w:t>
            </w:r>
          </w:p>
        </w:tc>
        <w:tc>
          <w:tcPr>
            <w:tcW w:w="230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（一）一般公共服务支出</w:t>
            </w:r>
          </w:p>
        </w:tc>
        <w:tc>
          <w:tcPr>
            <w:tcW w:w="11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4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（二）政府性基金预算拨款收入</w:t>
            </w:r>
          </w:p>
        </w:tc>
        <w:tc>
          <w:tcPr>
            <w:tcW w:w="1084" w:type="dxa"/>
            <w:shd w:val="clear" w:color="auto" w:fill="FFFFFF"/>
            <w:noWrap/>
            <w:vAlign w:val="center"/>
          </w:tcPr>
          <w:p>
            <w:pPr>
              <w:widowControl/>
              <w:jc w:val="center"/>
              <w:rPr>
                <w:rFonts w:ascii="宋体" w:hAnsi="宋体" w:cs="宋体"/>
                <w:kern w:val="0"/>
                <w:sz w:val="20"/>
              </w:rPr>
            </w:pPr>
          </w:p>
        </w:tc>
        <w:tc>
          <w:tcPr>
            <w:tcW w:w="230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（二）外交支出</w:t>
            </w:r>
          </w:p>
        </w:tc>
        <w:tc>
          <w:tcPr>
            <w:tcW w:w="11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0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（三）国防支出</w:t>
            </w:r>
          </w:p>
        </w:tc>
        <w:tc>
          <w:tcPr>
            <w:tcW w:w="11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0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（四）公共安全支出</w:t>
            </w:r>
          </w:p>
        </w:tc>
        <w:tc>
          <w:tcPr>
            <w:tcW w:w="11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0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（五）教育支出</w:t>
            </w:r>
          </w:p>
        </w:tc>
        <w:tc>
          <w:tcPr>
            <w:tcW w:w="11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0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（六）科学技术支出</w:t>
            </w:r>
          </w:p>
        </w:tc>
        <w:tc>
          <w:tcPr>
            <w:tcW w:w="11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0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（七）文化旅游体育与传媒支出</w:t>
            </w:r>
          </w:p>
        </w:tc>
        <w:tc>
          <w:tcPr>
            <w:tcW w:w="11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0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（八）社会保障和就业支出</w:t>
            </w:r>
          </w:p>
        </w:tc>
        <w:tc>
          <w:tcPr>
            <w:tcW w:w="115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153.17</w:t>
            </w:r>
          </w:p>
        </w:tc>
        <w:tc>
          <w:tcPr>
            <w:tcW w:w="105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153.17</w:t>
            </w:r>
          </w:p>
        </w:tc>
        <w:tc>
          <w:tcPr>
            <w:tcW w:w="116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0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（九）社会保险基金支出</w:t>
            </w:r>
          </w:p>
        </w:tc>
        <w:tc>
          <w:tcPr>
            <w:tcW w:w="11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0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（十）卫生健康支出</w:t>
            </w:r>
          </w:p>
        </w:tc>
        <w:tc>
          <w:tcPr>
            <w:tcW w:w="115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79.22</w:t>
            </w:r>
          </w:p>
        </w:tc>
        <w:tc>
          <w:tcPr>
            <w:tcW w:w="105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79.22</w:t>
            </w:r>
          </w:p>
        </w:tc>
        <w:tc>
          <w:tcPr>
            <w:tcW w:w="116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0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（十一）节能环保支出</w:t>
            </w:r>
          </w:p>
        </w:tc>
        <w:tc>
          <w:tcPr>
            <w:tcW w:w="11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0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（十二）城乡社区支出</w:t>
            </w:r>
          </w:p>
        </w:tc>
        <w:tc>
          <w:tcPr>
            <w:tcW w:w="11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0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（十三）农林水支出</w:t>
            </w:r>
          </w:p>
        </w:tc>
        <w:tc>
          <w:tcPr>
            <w:tcW w:w="11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0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（十四）交通运输支出</w:t>
            </w:r>
          </w:p>
        </w:tc>
        <w:tc>
          <w:tcPr>
            <w:tcW w:w="115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609.23</w:t>
            </w:r>
          </w:p>
        </w:tc>
        <w:tc>
          <w:tcPr>
            <w:tcW w:w="105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609.23</w:t>
            </w:r>
          </w:p>
        </w:tc>
        <w:tc>
          <w:tcPr>
            <w:tcW w:w="116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0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（十五）资源勘探工业信息等支出</w:t>
            </w:r>
          </w:p>
        </w:tc>
        <w:tc>
          <w:tcPr>
            <w:tcW w:w="11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0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（十六）商业服务业等支出</w:t>
            </w:r>
          </w:p>
        </w:tc>
        <w:tc>
          <w:tcPr>
            <w:tcW w:w="11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0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（十七）金融支出</w:t>
            </w:r>
          </w:p>
        </w:tc>
        <w:tc>
          <w:tcPr>
            <w:tcW w:w="11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0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（十八）援助其他地区支出</w:t>
            </w:r>
          </w:p>
        </w:tc>
        <w:tc>
          <w:tcPr>
            <w:tcW w:w="11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0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（十九）自然资源海洋气象等支出</w:t>
            </w:r>
          </w:p>
        </w:tc>
        <w:tc>
          <w:tcPr>
            <w:tcW w:w="11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0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（二十）住房保障支出</w:t>
            </w:r>
          </w:p>
        </w:tc>
        <w:tc>
          <w:tcPr>
            <w:tcW w:w="115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60.94</w:t>
            </w:r>
          </w:p>
        </w:tc>
        <w:tc>
          <w:tcPr>
            <w:tcW w:w="105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60.94</w:t>
            </w:r>
          </w:p>
        </w:tc>
        <w:tc>
          <w:tcPr>
            <w:tcW w:w="116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0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（二十一）粮油物资储备支出</w:t>
            </w:r>
          </w:p>
        </w:tc>
        <w:tc>
          <w:tcPr>
            <w:tcW w:w="11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0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（二十二）国有资本经营预算支出</w:t>
            </w:r>
          </w:p>
        </w:tc>
        <w:tc>
          <w:tcPr>
            <w:tcW w:w="11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0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（二十三）灾害防治及应急管理支出</w:t>
            </w:r>
          </w:p>
        </w:tc>
        <w:tc>
          <w:tcPr>
            <w:tcW w:w="11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0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（二十四）预备费</w:t>
            </w:r>
          </w:p>
        </w:tc>
        <w:tc>
          <w:tcPr>
            <w:tcW w:w="11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0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（二十五）其他支出</w:t>
            </w:r>
          </w:p>
        </w:tc>
        <w:tc>
          <w:tcPr>
            <w:tcW w:w="11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0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（二十六）转移性支出</w:t>
            </w:r>
          </w:p>
        </w:tc>
        <w:tc>
          <w:tcPr>
            <w:tcW w:w="11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0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（二十七）债务还本支出</w:t>
            </w:r>
          </w:p>
        </w:tc>
        <w:tc>
          <w:tcPr>
            <w:tcW w:w="11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0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（二十八）债务付息支出</w:t>
            </w:r>
          </w:p>
        </w:tc>
        <w:tc>
          <w:tcPr>
            <w:tcW w:w="11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0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（二十九）债务发行费用支出</w:t>
            </w:r>
          </w:p>
        </w:tc>
        <w:tc>
          <w:tcPr>
            <w:tcW w:w="11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0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（三十）抗疫特别国债安排的支出</w:t>
            </w:r>
          </w:p>
        </w:tc>
        <w:tc>
          <w:tcPr>
            <w:tcW w:w="11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0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（三十一）往来性支出</w:t>
            </w:r>
          </w:p>
        </w:tc>
        <w:tc>
          <w:tcPr>
            <w:tcW w:w="11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4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二、上年结转</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2.00</w:t>
            </w:r>
          </w:p>
        </w:tc>
        <w:tc>
          <w:tcPr>
            <w:tcW w:w="230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二、结转下年</w:t>
            </w:r>
          </w:p>
        </w:tc>
        <w:tc>
          <w:tcPr>
            <w:tcW w:w="11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4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2.00</w:t>
            </w:r>
          </w:p>
        </w:tc>
        <w:tc>
          <w:tcPr>
            <w:tcW w:w="2301" w:type="dxa"/>
            <w:shd w:val="clear" w:color="auto" w:fill="FFFFFF"/>
            <w:noWrap/>
            <w:vAlign w:val="center"/>
          </w:tcPr>
          <w:p>
            <w:pPr>
              <w:widowControl/>
              <w:jc w:val="left"/>
              <w:rPr>
                <w:rFonts w:ascii="宋体" w:hAnsi="宋体" w:cs="宋体"/>
                <w:kern w:val="0"/>
                <w:sz w:val="20"/>
              </w:rPr>
            </w:pPr>
          </w:p>
        </w:tc>
        <w:tc>
          <w:tcPr>
            <w:tcW w:w="11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4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w:t>
            </w:r>
          </w:p>
        </w:tc>
        <w:tc>
          <w:tcPr>
            <w:tcW w:w="1084" w:type="dxa"/>
            <w:shd w:val="clear" w:color="auto" w:fill="FFFFFF"/>
            <w:noWrap/>
            <w:vAlign w:val="center"/>
          </w:tcPr>
          <w:p>
            <w:pPr>
              <w:widowControl/>
              <w:jc w:val="center"/>
              <w:rPr>
                <w:rFonts w:ascii="宋体" w:hAnsi="宋体" w:cs="宋体"/>
                <w:kern w:val="0"/>
                <w:sz w:val="20"/>
              </w:rPr>
            </w:pPr>
          </w:p>
        </w:tc>
        <w:tc>
          <w:tcPr>
            <w:tcW w:w="2301" w:type="dxa"/>
            <w:shd w:val="clear" w:color="auto" w:fill="FFFFFF"/>
            <w:noWrap/>
            <w:vAlign w:val="center"/>
          </w:tcPr>
          <w:p>
            <w:pPr>
              <w:widowControl/>
              <w:jc w:val="left"/>
              <w:rPr>
                <w:rFonts w:ascii="宋体" w:hAnsi="宋体" w:cs="宋体"/>
                <w:kern w:val="0"/>
                <w:sz w:val="20"/>
              </w:rPr>
            </w:pPr>
          </w:p>
        </w:tc>
        <w:tc>
          <w:tcPr>
            <w:tcW w:w="11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5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6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4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收入总计</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902.55</w:t>
            </w:r>
          </w:p>
        </w:tc>
        <w:tc>
          <w:tcPr>
            <w:tcW w:w="230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支出总计</w:t>
            </w:r>
          </w:p>
        </w:tc>
        <w:tc>
          <w:tcPr>
            <w:tcW w:w="115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902.55</w:t>
            </w:r>
          </w:p>
        </w:tc>
        <w:tc>
          <w:tcPr>
            <w:tcW w:w="105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902.55</w:t>
            </w:r>
          </w:p>
        </w:tc>
        <w:tc>
          <w:tcPr>
            <w:tcW w:w="1169" w:type="dxa"/>
            <w:shd w:val="clear" w:color="auto" w:fill="FFFFFF"/>
            <w:noWrap/>
            <w:vAlign w:val="center"/>
          </w:tcPr>
          <w:p>
            <w:pPr>
              <w:widowControl/>
              <w:jc w:val="center"/>
              <w:rPr>
                <w:rFonts w:ascii="宋体" w:hAnsi="宋体" w:eastAsia="宋体" w:cs="宋体"/>
                <w:kern w:val="0"/>
                <w:sz w:val="20"/>
                <w:lang w:val="en-US" w:eastAsia="zh-CN" w:bidi="ar-SA"/>
              </w:rPr>
            </w:pPr>
          </w:p>
        </w:tc>
      </w:tr>
    </w:tbl>
    <w:p>
      <w:r>
        <w:br w:type="page"/>
      </w:r>
    </w:p>
    <w:tbl>
      <w:tblPr>
        <w:tblStyle w:val="5"/>
        <w:tblpPr w:leftFromText="180" w:rightFromText="180" w:vertAnchor="text" w:horzAnchor="page" w:tblpXSpec="center" w:tblpY="1"/>
        <w:tblOverlap w:val="never"/>
        <w:tblW w:w="10209" w:type="dxa"/>
        <w:jc w:val="center"/>
        <w:tblLayout w:type="fixed"/>
        <w:tblCellMar>
          <w:top w:w="0" w:type="dxa"/>
          <w:left w:w="108" w:type="dxa"/>
          <w:bottom w:w="0" w:type="dxa"/>
          <w:right w:w="108" w:type="dxa"/>
        </w:tblCellMar>
      </w:tblPr>
      <w:tblGrid>
        <w:gridCol w:w="749"/>
        <w:gridCol w:w="749"/>
        <w:gridCol w:w="751"/>
        <w:gridCol w:w="3646"/>
        <w:gridCol w:w="1274"/>
        <w:gridCol w:w="1446"/>
        <w:gridCol w:w="1594"/>
      </w:tblGrid>
      <w:tr>
        <w:tblPrEx>
          <w:tblCellMar>
            <w:top w:w="0" w:type="dxa"/>
            <w:left w:w="108" w:type="dxa"/>
            <w:bottom w:w="0" w:type="dxa"/>
            <w:right w:w="108" w:type="dxa"/>
          </w:tblCellMar>
        </w:tblPrEx>
        <w:trPr>
          <w:trHeight w:val="210" w:hRule="atLeast"/>
          <w:jc w:val="center"/>
        </w:trPr>
        <w:tc>
          <w:tcPr>
            <w:tcW w:w="10209" w:type="dxa"/>
            <w:gridSpan w:val="7"/>
            <w:tcBorders>
              <w:top w:val="nil"/>
              <w:left w:val="nil"/>
              <w:bottom w:val="nil"/>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5</w:t>
            </w:r>
          </w:p>
        </w:tc>
      </w:tr>
      <w:tr>
        <w:tblPrEx>
          <w:tblCellMar>
            <w:top w:w="0" w:type="dxa"/>
            <w:left w:w="108" w:type="dxa"/>
            <w:bottom w:w="0" w:type="dxa"/>
            <w:right w:w="108" w:type="dxa"/>
          </w:tblCellMar>
        </w:tblPrEx>
        <w:trPr>
          <w:trHeight w:val="576" w:hRule="atLeast"/>
          <w:jc w:val="center"/>
        </w:trPr>
        <w:tc>
          <w:tcPr>
            <w:tcW w:w="1020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trHeight w:val="330" w:hRule="atLeast"/>
          <w:jc w:val="center"/>
        </w:trPr>
        <w:tc>
          <w:tcPr>
            <w:tcW w:w="1020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390" w:hRule="atLeast"/>
          <w:jc w:val="center"/>
        </w:trPr>
        <w:tc>
          <w:tcPr>
            <w:tcW w:w="5895"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4314"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90" w:hRule="atLeast"/>
          <w:jc w:val="center"/>
        </w:trPr>
        <w:tc>
          <w:tcPr>
            <w:tcW w:w="224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364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27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44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59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90" w:hRule="atLeast"/>
          <w:jc w:val="center"/>
        </w:trPr>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364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2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4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5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240" w:hRule="atLeast"/>
          <w:jc w:val="center"/>
        </w:trPr>
        <w:tc>
          <w:tcPr>
            <w:tcW w:w="5895"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合计</w:t>
            </w:r>
          </w:p>
        </w:tc>
        <w:tc>
          <w:tcPr>
            <w:tcW w:w="12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900.55</w:t>
            </w:r>
          </w:p>
        </w:tc>
        <w:tc>
          <w:tcPr>
            <w:tcW w:w="14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872.55</w:t>
            </w:r>
          </w:p>
        </w:tc>
        <w:tc>
          <w:tcPr>
            <w:tcW w:w="15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28.00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208</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社会保障和就业支出</w:t>
            </w:r>
            <w:r>
              <w:rPr>
                <w:rFonts w:hint="eastAsia" w:ascii="宋体" w:hAnsi="宋体" w:cs="宋体"/>
                <w:kern w:val="0"/>
                <w:sz w:val="20"/>
              </w:rPr>
              <w:t>　</w:t>
            </w:r>
          </w:p>
        </w:tc>
        <w:tc>
          <w:tcPr>
            <w:tcW w:w="12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153.17</w:t>
            </w:r>
          </w:p>
        </w:tc>
        <w:tc>
          <w:tcPr>
            <w:tcW w:w="14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153.17</w:t>
            </w:r>
          </w:p>
        </w:tc>
        <w:tc>
          <w:tcPr>
            <w:tcW w:w="15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行政事业单位养老支出</w:t>
            </w:r>
            <w:r>
              <w:rPr>
                <w:rFonts w:hint="eastAsia" w:ascii="宋体" w:hAnsi="宋体" w:cs="宋体"/>
                <w:kern w:val="0"/>
                <w:sz w:val="20"/>
              </w:rPr>
              <w:t>　</w:t>
            </w:r>
          </w:p>
        </w:tc>
        <w:tc>
          <w:tcPr>
            <w:tcW w:w="12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149.85</w:t>
            </w:r>
          </w:p>
        </w:tc>
        <w:tc>
          <w:tcPr>
            <w:tcW w:w="14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149.85</w:t>
            </w:r>
          </w:p>
        </w:tc>
        <w:tc>
          <w:tcPr>
            <w:tcW w:w="15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36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机关事业单位基本养老保险缴费支出</w:t>
            </w:r>
            <w:r>
              <w:rPr>
                <w:rFonts w:hint="eastAsia" w:ascii="宋体" w:hAnsi="宋体" w:cs="宋体"/>
                <w:kern w:val="0"/>
                <w:sz w:val="20"/>
              </w:rPr>
              <w:t>　</w:t>
            </w:r>
          </w:p>
        </w:tc>
        <w:tc>
          <w:tcPr>
            <w:tcW w:w="12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69.53</w:t>
            </w:r>
          </w:p>
        </w:tc>
        <w:tc>
          <w:tcPr>
            <w:tcW w:w="14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69.53</w:t>
            </w:r>
          </w:p>
        </w:tc>
        <w:tc>
          <w:tcPr>
            <w:tcW w:w="15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06</w:t>
            </w:r>
          </w:p>
        </w:tc>
        <w:tc>
          <w:tcPr>
            <w:tcW w:w="36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机关事业单位职业年金缴费支出</w:t>
            </w:r>
            <w:r>
              <w:rPr>
                <w:rFonts w:hint="eastAsia" w:ascii="宋体" w:hAnsi="宋体" w:cs="宋体"/>
                <w:kern w:val="0"/>
                <w:sz w:val="20"/>
              </w:rPr>
              <w:t>　</w:t>
            </w:r>
          </w:p>
        </w:tc>
        <w:tc>
          <w:tcPr>
            <w:tcW w:w="12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34.76</w:t>
            </w:r>
          </w:p>
        </w:tc>
        <w:tc>
          <w:tcPr>
            <w:tcW w:w="14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34.76</w:t>
            </w:r>
          </w:p>
        </w:tc>
        <w:tc>
          <w:tcPr>
            <w:tcW w:w="15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6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其他行政事业单位养老支出</w:t>
            </w:r>
            <w:r>
              <w:rPr>
                <w:rFonts w:hint="eastAsia" w:ascii="宋体" w:hAnsi="宋体" w:cs="宋体"/>
                <w:kern w:val="0"/>
                <w:sz w:val="20"/>
              </w:rPr>
              <w:t>　</w:t>
            </w:r>
          </w:p>
        </w:tc>
        <w:tc>
          <w:tcPr>
            <w:tcW w:w="12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45.57</w:t>
            </w:r>
          </w:p>
        </w:tc>
        <w:tc>
          <w:tcPr>
            <w:tcW w:w="14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45.57</w:t>
            </w:r>
          </w:p>
        </w:tc>
        <w:tc>
          <w:tcPr>
            <w:tcW w:w="15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2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3.31</w:t>
            </w:r>
          </w:p>
        </w:tc>
        <w:tc>
          <w:tcPr>
            <w:tcW w:w="14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3.31</w:t>
            </w:r>
          </w:p>
        </w:tc>
        <w:tc>
          <w:tcPr>
            <w:tcW w:w="15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6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2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3.31</w:t>
            </w:r>
          </w:p>
        </w:tc>
        <w:tc>
          <w:tcPr>
            <w:tcW w:w="14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3.31</w:t>
            </w:r>
          </w:p>
        </w:tc>
        <w:tc>
          <w:tcPr>
            <w:tcW w:w="15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210</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卫生健康支出</w:t>
            </w:r>
            <w:r>
              <w:rPr>
                <w:rFonts w:hint="eastAsia" w:ascii="宋体" w:hAnsi="宋体" w:cs="宋体"/>
                <w:kern w:val="0"/>
                <w:sz w:val="20"/>
              </w:rPr>
              <w:t>　</w:t>
            </w:r>
          </w:p>
        </w:tc>
        <w:tc>
          <w:tcPr>
            <w:tcW w:w="12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79.22</w:t>
            </w:r>
          </w:p>
        </w:tc>
        <w:tc>
          <w:tcPr>
            <w:tcW w:w="14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79.22</w:t>
            </w:r>
          </w:p>
        </w:tc>
        <w:tc>
          <w:tcPr>
            <w:tcW w:w="15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行政事业单位医疗</w:t>
            </w:r>
            <w:r>
              <w:rPr>
                <w:rFonts w:hint="eastAsia" w:ascii="宋体" w:hAnsi="宋体" w:cs="宋体"/>
                <w:kern w:val="0"/>
                <w:sz w:val="20"/>
              </w:rPr>
              <w:t>　</w:t>
            </w:r>
          </w:p>
        </w:tc>
        <w:tc>
          <w:tcPr>
            <w:tcW w:w="12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79.22</w:t>
            </w:r>
          </w:p>
        </w:tc>
        <w:tc>
          <w:tcPr>
            <w:tcW w:w="14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79.22</w:t>
            </w:r>
          </w:p>
        </w:tc>
        <w:tc>
          <w:tcPr>
            <w:tcW w:w="15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6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行政单位医疗</w:t>
            </w:r>
            <w:r>
              <w:rPr>
                <w:rFonts w:hint="eastAsia" w:ascii="宋体" w:hAnsi="宋体" w:cs="宋体"/>
                <w:kern w:val="0"/>
                <w:sz w:val="20"/>
              </w:rPr>
              <w:t>　</w:t>
            </w:r>
          </w:p>
        </w:tc>
        <w:tc>
          <w:tcPr>
            <w:tcW w:w="12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10.50</w:t>
            </w:r>
          </w:p>
        </w:tc>
        <w:tc>
          <w:tcPr>
            <w:tcW w:w="14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10.50</w:t>
            </w:r>
          </w:p>
        </w:tc>
        <w:tc>
          <w:tcPr>
            <w:tcW w:w="15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6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事业单位医疗</w:t>
            </w:r>
            <w:r>
              <w:rPr>
                <w:rFonts w:hint="eastAsia" w:ascii="宋体" w:hAnsi="宋体" w:cs="宋体"/>
                <w:kern w:val="0"/>
                <w:sz w:val="20"/>
              </w:rPr>
              <w:t>　</w:t>
            </w:r>
          </w:p>
        </w:tc>
        <w:tc>
          <w:tcPr>
            <w:tcW w:w="12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39.32</w:t>
            </w:r>
          </w:p>
        </w:tc>
        <w:tc>
          <w:tcPr>
            <w:tcW w:w="14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39.32</w:t>
            </w:r>
          </w:p>
        </w:tc>
        <w:tc>
          <w:tcPr>
            <w:tcW w:w="15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36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公务员医疗补助</w:t>
            </w:r>
            <w:r>
              <w:rPr>
                <w:rFonts w:hint="eastAsia" w:ascii="宋体" w:hAnsi="宋体" w:cs="宋体"/>
                <w:kern w:val="0"/>
                <w:sz w:val="20"/>
              </w:rPr>
              <w:t>　</w:t>
            </w:r>
          </w:p>
        </w:tc>
        <w:tc>
          <w:tcPr>
            <w:tcW w:w="12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29.40</w:t>
            </w:r>
          </w:p>
        </w:tc>
        <w:tc>
          <w:tcPr>
            <w:tcW w:w="14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29.40</w:t>
            </w:r>
          </w:p>
        </w:tc>
        <w:tc>
          <w:tcPr>
            <w:tcW w:w="15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214</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交通运输支出</w:t>
            </w:r>
            <w:r>
              <w:rPr>
                <w:rFonts w:hint="eastAsia" w:ascii="宋体" w:hAnsi="宋体" w:cs="宋体"/>
                <w:kern w:val="0"/>
                <w:sz w:val="20"/>
              </w:rPr>
              <w:t>　</w:t>
            </w:r>
          </w:p>
        </w:tc>
        <w:tc>
          <w:tcPr>
            <w:tcW w:w="12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607.22</w:t>
            </w:r>
          </w:p>
        </w:tc>
        <w:tc>
          <w:tcPr>
            <w:tcW w:w="14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579.22</w:t>
            </w:r>
          </w:p>
        </w:tc>
        <w:tc>
          <w:tcPr>
            <w:tcW w:w="15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28.00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公路水路运输</w:t>
            </w:r>
            <w:r>
              <w:rPr>
                <w:rFonts w:hint="eastAsia" w:ascii="宋体" w:hAnsi="宋体" w:cs="宋体"/>
                <w:kern w:val="0"/>
                <w:sz w:val="20"/>
              </w:rPr>
              <w:t>　</w:t>
            </w:r>
          </w:p>
        </w:tc>
        <w:tc>
          <w:tcPr>
            <w:tcW w:w="12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607.22</w:t>
            </w:r>
          </w:p>
        </w:tc>
        <w:tc>
          <w:tcPr>
            <w:tcW w:w="14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579.22</w:t>
            </w:r>
          </w:p>
        </w:tc>
        <w:tc>
          <w:tcPr>
            <w:tcW w:w="15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28.00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12</w:t>
            </w:r>
          </w:p>
        </w:tc>
        <w:tc>
          <w:tcPr>
            <w:tcW w:w="36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公路运输管理</w:t>
            </w:r>
            <w:r>
              <w:rPr>
                <w:rFonts w:hint="eastAsia" w:ascii="宋体" w:hAnsi="宋体" w:cs="宋体"/>
                <w:kern w:val="0"/>
                <w:sz w:val="20"/>
              </w:rPr>
              <w:t>　</w:t>
            </w:r>
          </w:p>
        </w:tc>
        <w:tc>
          <w:tcPr>
            <w:tcW w:w="12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607.22</w:t>
            </w:r>
          </w:p>
        </w:tc>
        <w:tc>
          <w:tcPr>
            <w:tcW w:w="14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579.22</w:t>
            </w:r>
          </w:p>
        </w:tc>
        <w:tc>
          <w:tcPr>
            <w:tcW w:w="15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28.00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住房保障支出</w:t>
            </w:r>
            <w:r>
              <w:rPr>
                <w:rFonts w:hint="eastAsia" w:ascii="宋体" w:hAnsi="宋体" w:cs="宋体"/>
                <w:kern w:val="0"/>
                <w:sz w:val="20"/>
              </w:rPr>
              <w:t>　</w:t>
            </w:r>
          </w:p>
        </w:tc>
        <w:tc>
          <w:tcPr>
            <w:tcW w:w="12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60.94</w:t>
            </w:r>
          </w:p>
        </w:tc>
        <w:tc>
          <w:tcPr>
            <w:tcW w:w="14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60.94</w:t>
            </w:r>
          </w:p>
        </w:tc>
        <w:tc>
          <w:tcPr>
            <w:tcW w:w="15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住房改革支出</w:t>
            </w:r>
            <w:r>
              <w:rPr>
                <w:rFonts w:hint="eastAsia" w:ascii="宋体" w:hAnsi="宋体" w:cs="宋体"/>
                <w:kern w:val="0"/>
                <w:sz w:val="20"/>
              </w:rPr>
              <w:t>　</w:t>
            </w:r>
          </w:p>
        </w:tc>
        <w:tc>
          <w:tcPr>
            <w:tcW w:w="12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60.94</w:t>
            </w:r>
          </w:p>
        </w:tc>
        <w:tc>
          <w:tcPr>
            <w:tcW w:w="14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60.94</w:t>
            </w:r>
          </w:p>
        </w:tc>
        <w:tc>
          <w:tcPr>
            <w:tcW w:w="15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6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住房公积金</w:t>
            </w:r>
            <w:r>
              <w:rPr>
                <w:rFonts w:hint="eastAsia" w:ascii="宋体" w:hAnsi="宋体" w:cs="宋体"/>
                <w:kern w:val="0"/>
                <w:sz w:val="20"/>
              </w:rPr>
              <w:t>　</w:t>
            </w:r>
          </w:p>
        </w:tc>
        <w:tc>
          <w:tcPr>
            <w:tcW w:w="127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60.94</w:t>
            </w:r>
          </w:p>
        </w:tc>
        <w:tc>
          <w:tcPr>
            <w:tcW w:w="144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60.94</w:t>
            </w:r>
          </w:p>
        </w:tc>
        <w:tc>
          <w:tcPr>
            <w:tcW w:w="15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5"/>
        <w:tblW w:w="11245" w:type="dxa"/>
        <w:jc w:val="center"/>
        <w:tblLayout w:type="fixed"/>
        <w:tblCellMar>
          <w:top w:w="0" w:type="dxa"/>
          <w:left w:w="108" w:type="dxa"/>
          <w:bottom w:w="0" w:type="dxa"/>
          <w:right w:w="108" w:type="dxa"/>
        </w:tblCellMar>
      </w:tblPr>
      <w:tblGrid>
        <w:gridCol w:w="650"/>
        <w:gridCol w:w="650"/>
        <w:gridCol w:w="2863"/>
        <w:gridCol w:w="2460"/>
        <w:gridCol w:w="2128"/>
        <w:gridCol w:w="2494"/>
      </w:tblGrid>
      <w:tr>
        <w:tblPrEx>
          <w:tblCellMar>
            <w:top w:w="0" w:type="dxa"/>
            <w:left w:w="108" w:type="dxa"/>
            <w:bottom w:w="0" w:type="dxa"/>
            <w:right w:w="108" w:type="dxa"/>
          </w:tblCellMar>
        </w:tblPrEx>
        <w:trPr>
          <w:trHeight w:val="264" w:hRule="atLeast"/>
          <w:jc w:val="center"/>
        </w:trPr>
        <w:tc>
          <w:tcPr>
            <w:tcW w:w="11245" w:type="dxa"/>
            <w:gridSpan w:val="6"/>
            <w:tcBorders>
              <w:top w:val="nil"/>
              <w:left w:val="nil"/>
              <w:bottom w:val="nil"/>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6</w:t>
            </w:r>
          </w:p>
        </w:tc>
      </w:tr>
      <w:tr>
        <w:tblPrEx>
          <w:tblCellMar>
            <w:top w:w="0" w:type="dxa"/>
            <w:left w:w="108" w:type="dxa"/>
            <w:bottom w:w="0" w:type="dxa"/>
            <w:right w:w="108" w:type="dxa"/>
          </w:tblCellMar>
        </w:tblPrEx>
        <w:trPr>
          <w:trHeight w:val="720" w:hRule="atLeast"/>
          <w:jc w:val="center"/>
        </w:trPr>
        <w:tc>
          <w:tcPr>
            <w:tcW w:w="11245" w:type="dxa"/>
            <w:gridSpan w:val="6"/>
            <w:tcBorders>
              <w:top w:val="nil"/>
              <w:left w:val="nil"/>
              <w:bottom w:val="nil"/>
              <w:right w:val="nil"/>
            </w:tcBorders>
            <w:noWrap/>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CellMar>
            <w:top w:w="0" w:type="dxa"/>
            <w:left w:w="108" w:type="dxa"/>
            <w:bottom w:w="0" w:type="dxa"/>
            <w:right w:w="108" w:type="dxa"/>
          </w:tblCellMar>
        </w:tblPrEx>
        <w:trPr>
          <w:trHeight w:val="330" w:hRule="atLeast"/>
          <w:jc w:val="center"/>
        </w:trPr>
        <w:tc>
          <w:tcPr>
            <w:tcW w:w="11245" w:type="dxa"/>
            <w:gridSpan w:val="6"/>
            <w:tcBorders>
              <w:top w:val="nil"/>
              <w:left w:val="nil"/>
              <w:bottom w:val="single" w:color="auto" w:sz="4" w:space="0"/>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600" w:hRule="atLeast"/>
          <w:jc w:val="center"/>
        </w:trPr>
        <w:tc>
          <w:tcPr>
            <w:tcW w:w="41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7082"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lang w:val="en-US" w:eastAsia="zh-CN"/>
              </w:rPr>
              <w:t>2023</w:t>
            </w:r>
            <w:r>
              <w:rPr>
                <w:rFonts w:hint="eastAsia" w:ascii="宋体" w:hAnsi="宋体" w:cs="宋体"/>
                <w:b/>
                <w:bCs/>
                <w:kern w:val="0"/>
                <w:sz w:val="22"/>
                <w:szCs w:val="22"/>
              </w:rPr>
              <w:t>年基本支出</w:t>
            </w:r>
          </w:p>
        </w:tc>
      </w:tr>
      <w:tr>
        <w:tblPrEx>
          <w:tblCellMar>
            <w:top w:w="0" w:type="dxa"/>
            <w:left w:w="108" w:type="dxa"/>
            <w:bottom w:w="0" w:type="dxa"/>
            <w:right w:w="108" w:type="dxa"/>
          </w:tblCellMar>
        </w:tblPrEx>
        <w:trPr>
          <w:trHeight w:val="330" w:hRule="atLeast"/>
          <w:jc w:val="center"/>
        </w:trPr>
        <w:tc>
          <w:tcPr>
            <w:tcW w:w="1300"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286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46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128"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249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28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4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1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4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330" w:hRule="atLeast"/>
          <w:jc w:val="center"/>
        </w:trPr>
        <w:tc>
          <w:tcPr>
            <w:tcW w:w="4163" w:type="dxa"/>
            <w:gridSpan w:val="3"/>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合计</w:t>
            </w:r>
          </w:p>
        </w:tc>
        <w:tc>
          <w:tcPr>
            <w:tcW w:w="24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872.55</w:t>
            </w:r>
          </w:p>
        </w:tc>
        <w:tc>
          <w:tcPr>
            <w:tcW w:w="212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841.45</w:t>
            </w:r>
          </w:p>
        </w:tc>
        <w:tc>
          <w:tcPr>
            <w:tcW w:w="24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31.10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301</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86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工资福利支出</w:t>
            </w:r>
          </w:p>
        </w:tc>
        <w:tc>
          <w:tcPr>
            <w:tcW w:w="24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770.01</w:t>
            </w:r>
          </w:p>
        </w:tc>
        <w:tc>
          <w:tcPr>
            <w:tcW w:w="212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770.01</w:t>
            </w:r>
          </w:p>
        </w:tc>
        <w:tc>
          <w:tcPr>
            <w:tcW w:w="24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286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基本工资</w:t>
            </w:r>
          </w:p>
        </w:tc>
        <w:tc>
          <w:tcPr>
            <w:tcW w:w="24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160.70</w:t>
            </w:r>
          </w:p>
        </w:tc>
        <w:tc>
          <w:tcPr>
            <w:tcW w:w="212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160.70</w:t>
            </w:r>
          </w:p>
        </w:tc>
        <w:tc>
          <w:tcPr>
            <w:tcW w:w="24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286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津贴补贴</w:t>
            </w:r>
          </w:p>
        </w:tc>
        <w:tc>
          <w:tcPr>
            <w:tcW w:w="24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125.92</w:t>
            </w:r>
          </w:p>
        </w:tc>
        <w:tc>
          <w:tcPr>
            <w:tcW w:w="212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125.92</w:t>
            </w:r>
          </w:p>
        </w:tc>
        <w:tc>
          <w:tcPr>
            <w:tcW w:w="24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86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绩效工资</w:t>
            </w:r>
          </w:p>
        </w:tc>
        <w:tc>
          <w:tcPr>
            <w:tcW w:w="24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239.01</w:t>
            </w:r>
          </w:p>
        </w:tc>
        <w:tc>
          <w:tcPr>
            <w:tcW w:w="212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239.01</w:t>
            </w:r>
          </w:p>
        </w:tc>
        <w:tc>
          <w:tcPr>
            <w:tcW w:w="24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286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机关事业单位基本养老保险缴费</w:t>
            </w:r>
          </w:p>
        </w:tc>
        <w:tc>
          <w:tcPr>
            <w:tcW w:w="24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69.53</w:t>
            </w:r>
          </w:p>
        </w:tc>
        <w:tc>
          <w:tcPr>
            <w:tcW w:w="212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69.53</w:t>
            </w:r>
          </w:p>
        </w:tc>
        <w:tc>
          <w:tcPr>
            <w:tcW w:w="24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09</w:t>
            </w:r>
          </w:p>
        </w:tc>
        <w:tc>
          <w:tcPr>
            <w:tcW w:w="286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职业年金缴费</w:t>
            </w:r>
          </w:p>
        </w:tc>
        <w:tc>
          <w:tcPr>
            <w:tcW w:w="24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34.76</w:t>
            </w:r>
          </w:p>
        </w:tc>
        <w:tc>
          <w:tcPr>
            <w:tcW w:w="212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34.76</w:t>
            </w:r>
          </w:p>
        </w:tc>
        <w:tc>
          <w:tcPr>
            <w:tcW w:w="24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286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职工基本医疗保险缴费</w:t>
            </w:r>
          </w:p>
        </w:tc>
        <w:tc>
          <w:tcPr>
            <w:tcW w:w="24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23.94</w:t>
            </w:r>
          </w:p>
        </w:tc>
        <w:tc>
          <w:tcPr>
            <w:tcW w:w="212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23.94</w:t>
            </w:r>
          </w:p>
        </w:tc>
        <w:tc>
          <w:tcPr>
            <w:tcW w:w="24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286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公务员医疗补助缴费</w:t>
            </w:r>
          </w:p>
        </w:tc>
        <w:tc>
          <w:tcPr>
            <w:tcW w:w="24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29.40</w:t>
            </w:r>
          </w:p>
        </w:tc>
        <w:tc>
          <w:tcPr>
            <w:tcW w:w="212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29.40</w:t>
            </w:r>
          </w:p>
        </w:tc>
        <w:tc>
          <w:tcPr>
            <w:tcW w:w="24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12</w:t>
            </w:r>
          </w:p>
        </w:tc>
        <w:tc>
          <w:tcPr>
            <w:tcW w:w="286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其他社会保障缴费</w:t>
            </w:r>
          </w:p>
        </w:tc>
        <w:tc>
          <w:tcPr>
            <w:tcW w:w="24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3.31</w:t>
            </w:r>
          </w:p>
        </w:tc>
        <w:tc>
          <w:tcPr>
            <w:tcW w:w="212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3.31</w:t>
            </w:r>
          </w:p>
        </w:tc>
        <w:tc>
          <w:tcPr>
            <w:tcW w:w="24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w:t>
            </w:r>
          </w:p>
        </w:tc>
        <w:tc>
          <w:tcPr>
            <w:tcW w:w="286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住房公积金</w:t>
            </w:r>
          </w:p>
        </w:tc>
        <w:tc>
          <w:tcPr>
            <w:tcW w:w="24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60.94</w:t>
            </w:r>
          </w:p>
        </w:tc>
        <w:tc>
          <w:tcPr>
            <w:tcW w:w="212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60.94</w:t>
            </w:r>
          </w:p>
        </w:tc>
        <w:tc>
          <w:tcPr>
            <w:tcW w:w="24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286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其他工资福利支出</w:t>
            </w:r>
          </w:p>
        </w:tc>
        <w:tc>
          <w:tcPr>
            <w:tcW w:w="24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22.50</w:t>
            </w:r>
          </w:p>
        </w:tc>
        <w:tc>
          <w:tcPr>
            <w:tcW w:w="212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22.50</w:t>
            </w:r>
          </w:p>
        </w:tc>
        <w:tc>
          <w:tcPr>
            <w:tcW w:w="24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302</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86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商品和服务支出</w:t>
            </w:r>
          </w:p>
        </w:tc>
        <w:tc>
          <w:tcPr>
            <w:tcW w:w="24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31.10</w:t>
            </w:r>
          </w:p>
        </w:tc>
        <w:tc>
          <w:tcPr>
            <w:tcW w:w="212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4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31.10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286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办公费</w:t>
            </w:r>
          </w:p>
        </w:tc>
        <w:tc>
          <w:tcPr>
            <w:tcW w:w="24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3.20</w:t>
            </w:r>
          </w:p>
        </w:tc>
        <w:tc>
          <w:tcPr>
            <w:tcW w:w="212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4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3.20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286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印刷费</w:t>
            </w:r>
          </w:p>
        </w:tc>
        <w:tc>
          <w:tcPr>
            <w:tcW w:w="24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2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4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286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水费</w:t>
            </w:r>
          </w:p>
        </w:tc>
        <w:tc>
          <w:tcPr>
            <w:tcW w:w="24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0.80</w:t>
            </w:r>
          </w:p>
        </w:tc>
        <w:tc>
          <w:tcPr>
            <w:tcW w:w="212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4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06</w:t>
            </w:r>
          </w:p>
        </w:tc>
        <w:tc>
          <w:tcPr>
            <w:tcW w:w="286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电费</w:t>
            </w:r>
          </w:p>
        </w:tc>
        <w:tc>
          <w:tcPr>
            <w:tcW w:w="24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0.80</w:t>
            </w:r>
          </w:p>
        </w:tc>
        <w:tc>
          <w:tcPr>
            <w:tcW w:w="212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4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86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邮电费</w:t>
            </w:r>
          </w:p>
        </w:tc>
        <w:tc>
          <w:tcPr>
            <w:tcW w:w="24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2.40</w:t>
            </w:r>
          </w:p>
        </w:tc>
        <w:tc>
          <w:tcPr>
            <w:tcW w:w="212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4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2.40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286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取暖费</w:t>
            </w:r>
          </w:p>
        </w:tc>
        <w:tc>
          <w:tcPr>
            <w:tcW w:w="24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4.00</w:t>
            </w:r>
          </w:p>
        </w:tc>
        <w:tc>
          <w:tcPr>
            <w:tcW w:w="212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4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4.00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286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差旅费</w:t>
            </w:r>
          </w:p>
        </w:tc>
        <w:tc>
          <w:tcPr>
            <w:tcW w:w="24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2.40</w:t>
            </w:r>
          </w:p>
        </w:tc>
        <w:tc>
          <w:tcPr>
            <w:tcW w:w="212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4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2.40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17</w:t>
            </w:r>
          </w:p>
        </w:tc>
        <w:tc>
          <w:tcPr>
            <w:tcW w:w="286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公务接待费</w:t>
            </w:r>
          </w:p>
        </w:tc>
        <w:tc>
          <w:tcPr>
            <w:tcW w:w="24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0.80</w:t>
            </w:r>
          </w:p>
        </w:tc>
        <w:tc>
          <w:tcPr>
            <w:tcW w:w="212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4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28</w:t>
            </w:r>
          </w:p>
        </w:tc>
        <w:tc>
          <w:tcPr>
            <w:tcW w:w="286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工会经费</w:t>
            </w:r>
          </w:p>
        </w:tc>
        <w:tc>
          <w:tcPr>
            <w:tcW w:w="24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7.37</w:t>
            </w:r>
          </w:p>
        </w:tc>
        <w:tc>
          <w:tcPr>
            <w:tcW w:w="212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4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7.37</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31</w:t>
            </w:r>
          </w:p>
        </w:tc>
        <w:tc>
          <w:tcPr>
            <w:tcW w:w="286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公务用车运行维护费</w:t>
            </w:r>
          </w:p>
        </w:tc>
        <w:tc>
          <w:tcPr>
            <w:tcW w:w="24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6.30</w:t>
            </w:r>
          </w:p>
        </w:tc>
        <w:tc>
          <w:tcPr>
            <w:tcW w:w="212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4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6.30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39</w:t>
            </w:r>
          </w:p>
        </w:tc>
        <w:tc>
          <w:tcPr>
            <w:tcW w:w="286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其他交通费用</w:t>
            </w:r>
          </w:p>
        </w:tc>
        <w:tc>
          <w:tcPr>
            <w:tcW w:w="24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2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4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286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其他商品和服务支出</w:t>
            </w:r>
          </w:p>
        </w:tc>
        <w:tc>
          <w:tcPr>
            <w:tcW w:w="24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3.03</w:t>
            </w:r>
          </w:p>
        </w:tc>
        <w:tc>
          <w:tcPr>
            <w:tcW w:w="212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4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3.03</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303</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86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对个人和家庭的补助</w:t>
            </w:r>
          </w:p>
        </w:tc>
        <w:tc>
          <w:tcPr>
            <w:tcW w:w="24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71.44</w:t>
            </w:r>
          </w:p>
        </w:tc>
        <w:tc>
          <w:tcPr>
            <w:tcW w:w="212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71.44</w:t>
            </w:r>
          </w:p>
        </w:tc>
        <w:tc>
          <w:tcPr>
            <w:tcW w:w="24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286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退休费</w:t>
            </w:r>
          </w:p>
        </w:tc>
        <w:tc>
          <w:tcPr>
            <w:tcW w:w="24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45.57</w:t>
            </w:r>
          </w:p>
        </w:tc>
        <w:tc>
          <w:tcPr>
            <w:tcW w:w="212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45.57</w:t>
            </w:r>
          </w:p>
        </w:tc>
        <w:tc>
          <w:tcPr>
            <w:tcW w:w="24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86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医疗费补助</w:t>
            </w:r>
          </w:p>
        </w:tc>
        <w:tc>
          <w:tcPr>
            <w:tcW w:w="246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25.87</w:t>
            </w:r>
          </w:p>
        </w:tc>
        <w:tc>
          <w:tcPr>
            <w:tcW w:w="212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25.87</w:t>
            </w:r>
          </w:p>
        </w:tc>
        <w:tc>
          <w:tcPr>
            <w:tcW w:w="249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bl>
    <w:p>
      <w:pPr>
        <w:rPr>
          <w:rFonts w:hint="eastAsia" w:ascii="仿宋_GB2312" w:eastAsia="仿宋_GB2312"/>
          <w:sz w:val="10"/>
          <w:szCs w:val="32"/>
        </w:rPr>
      </w:pPr>
      <w:r>
        <w:rPr>
          <w:rFonts w:hint="eastAsia" w:ascii="仿宋_GB2312" w:eastAsia="仿宋_GB2312"/>
          <w:sz w:val="10"/>
          <w:szCs w:val="32"/>
        </w:rPr>
        <w:br w:type="page"/>
      </w:r>
    </w:p>
    <w:tbl>
      <w:tblPr>
        <w:tblStyle w:val="5"/>
        <w:tblW w:w="113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
        <w:gridCol w:w="965"/>
        <w:gridCol w:w="965"/>
        <w:gridCol w:w="965"/>
        <w:gridCol w:w="965"/>
        <w:gridCol w:w="965"/>
        <w:gridCol w:w="965"/>
        <w:gridCol w:w="965"/>
        <w:gridCol w:w="965"/>
        <w:gridCol w:w="965"/>
        <w:gridCol w:w="965"/>
        <w:gridCol w:w="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307" w:type="dxa"/>
            <w:gridSpan w:val="12"/>
            <w:tcBorders>
              <w:top w:val="nil"/>
              <w:left w:val="nil"/>
              <w:bottom w:val="nil"/>
              <w:right w:val="nil"/>
            </w:tcBorders>
            <w:noWrap/>
            <w:vAlign w:val="bottom"/>
          </w:tcPr>
          <w:p>
            <w:pPr>
              <w:widowControl/>
              <w:ind w:right="181"/>
              <w:jc w:val="right"/>
              <w:rPr>
                <w:rFonts w:ascii="宋体" w:hAnsi="宋体" w:cs="宋体"/>
                <w:b/>
                <w:kern w:val="0"/>
                <w:sz w:val="18"/>
                <w:szCs w:val="18"/>
              </w:rPr>
            </w:pPr>
            <w:bookmarkStart w:id="1" w:name="RANGE!A1:F15"/>
            <w:bookmarkEnd w:id="1"/>
            <w:bookmarkStart w:id="2" w:name="RANGE!A1:F62"/>
            <w:bookmarkEnd w:id="2"/>
            <w:bookmarkStart w:id="3" w:name="RANGE!A1:G6"/>
            <w:bookmarkEnd w:id="3"/>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1307"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307" w:type="dxa"/>
            <w:gridSpan w:val="12"/>
            <w:tcBorders>
              <w:top w:val="nil"/>
              <w:left w:val="nil"/>
              <w:bottom w:val="single" w:color="auto" w:sz="4" w:space="0"/>
              <w:right w:val="nil"/>
            </w:tcBorders>
            <w:noWrap/>
            <w:vAlign w:val="center"/>
          </w:tcPr>
          <w:p>
            <w:pPr>
              <w:jc w:val="right"/>
              <w:rPr>
                <w:rFonts w:hint="eastAsia"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656" w:type="dxa"/>
            <w:gridSpan w:val="6"/>
            <w:tcBorders>
              <w:top w:val="single" w:color="auto" w:sz="4" w:space="0"/>
            </w:tcBorders>
            <w:noWrap w:val="0"/>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651" w:type="dxa"/>
            <w:gridSpan w:val="6"/>
            <w:tcBorders>
              <w:top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lang w:val="en-US" w:eastAsia="zh-CN"/>
              </w:rPr>
              <w:t>2023</w:t>
            </w:r>
            <w:r>
              <w:rPr>
                <w:rFonts w:hint="eastAsia" w:ascii="宋体" w:hAnsi="宋体" w:cs="宋体"/>
                <w:b/>
                <w:bCs/>
                <w:color w:val="000000"/>
                <w:kern w:val="0"/>
                <w:sz w:val="22"/>
                <w:szCs w:val="22"/>
              </w:rPr>
              <w:t>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831"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826"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831"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826" w:type="dxa"/>
            <w:vMerge w:val="continue"/>
            <w:noWrap w:val="0"/>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jc w:val="center"/>
        </w:trPr>
        <w:tc>
          <w:tcPr>
            <w:tcW w:w="831"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7.14</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6.30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6.30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0.84</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7.10</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6.30</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6.30</w:t>
            </w:r>
          </w:p>
        </w:tc>
        <w:tc>
          <w:tcPr>
            <w:tcW w:w="826"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0.80</w:t>
            </w:r>
          </w:p>
        </w:tc>
      </w:tr>
    </w:tbl>
    <w:p>
      <w:pPr>
        <w:rPr>
          <w:rFonts w:hint="eastAsia" w:ascii="仿宋_GB2312" w:eastAsia="仿宋_GB2312"/>
          <w:sz w:val="32"/>
          <w:szCs w:val="32"/>
        </w:rPr>
      </w:pPr>
      <w:r>
        <w:rPr>
          <w:rFonts w:hint="eastAsia" w:ascii="仿宋_GB2312" w:eastAsia="仿宋_GB2312"/>
          <w:sz w:val="32"/>
          <w:szCs w:val="32"/>
        </w:rPr>
        <w:br w:type="page"/>
      </w:r>
    </w:p>
    <w:tbl>
      <w:tblPr>
        <w:tblStyle w:val="5"/>
        <w:tblW w:w="10279" w:type="dxa"/>
        <w:jc w:val="center"/>
        <w:tblLayout w:type="fixed"/>
        <w:tblCellMar>
          <w:top w:w="0" w:type="dxa"/>
          <w:left w:w="108" w:type="dxa"/>
          <w:bottom w:w="0" w:type="dxa"/>
          <w:right w:w="108" w:type="dxa"/>
        </w:tblCellMar>
      </w:tblPr>
      <w:tblGrid>
        <w:gridCol w:w="621"/>
        <w:gridCol w:w="621"/>
        <w:gridCol w:w="621"/>
        <w:gridCol w:w="2029"/>
        <w:gridCol w:w="2037"/>
        <w:gridCol w:w="2113"/>
        <w:gridCol w:w="2237"/>
      </w:tblGrid>
      <w:tr>
        <w:tblPrEx>
          <w:tblCellMar>
            <w:top w:w="0" w:type="dxa"/>
            <w:left w:w="108" w:type="dxa"/>
            <w:bottom w:w="0" w:type="dxa"/>
            <w:right w:w="108" w:type="dxa"/>
          </w:tblCellMar>
        </w:tblPrEx>
        <w:trPr>
          <w:trHeight w:val="200" w:hRule="atLeast"/>
          <w:jc w:val="center"/>
        </w:trPr>
        <w:tc>
          <w:tcPr>
            <w:tcW w:w="10279" w:type="dxa"/>
            <w:gridSpan w:val="7"/>
            <w:tcBorders>
              <w:top w:val="nil"/>
              <w:left w:val="nil"/>
              <w:bottom w:val="nil"/>
              <w:right w:val="nil"/>
            </w:tcBorders>
            <w:noWrap/>
            <w:vAlign w:val="center"/>
          </w:tcPr>
          <w:p>
            <w:pPr>
              <w:widowControl/>
              <w:jc w:val="right"/>
              <w:rPr>
                <w:rFonts w:hint="eastAsia" w:ascii="宋体" w:hAnsi="宋体" w:cs="宋体"/>
                <w:b/>
                <w:bCs/>
                <w:kern w:val="0"/>
                <w:sz w:val="44"/>
                <w:szCs w:val="44"/>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8</w:t>
            </w:r>
          </w:p>
        </w:tc>
      </w:tr>
      <w:tr>
        <w:tblPrEx>
          <w:tblCellMar>
            <w:top w:w="0" w:type="dxa"/>
            <w:left w:w="108" w:type="dxa"/>
            <w:bottom w:w="0" w:type="dxa"/>
            <w:right w:w="108" w:type="dxa"/>
          </w:tblCellMar>
        </w:tblPrEx>
        <w:trPr>
          <w:trHeight w:val="873" w:hRule="atLeast"/>
          <w:jc w:val="center"/>
        </w:trPr>
        <w:tc>
          <w:tcPr>
            <w:tcW w:w="1027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blPrEx>
          <w:tblCellMar>
            <w:top w:w="0" w:type="dxa"/>
            <w:left w:w="108" w:type="dxa"/>
            <w:bottom w:w="0" w:type="dxa"/>
            <w:right w:w="108" w:type="dxa"/>
          </w:tblCellMar>
        </w:tblPrEx>
        <w:trPr>
          <w:trHeight w:val="228" w:hRule="atLeast"/>
          <w:jc w:val="center"/>
        </w:trPr>
        <w:tc>
          <w:tcPr>
            <w:tcW w:w="1027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404" w:hRule="atLeast"/>
          <w:jc w:val="center"/>
        </w:trPr>
        <w:tc>
          <w:tcPr>
            <w:tcW w:w="389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39" w:hRule="atLeast"/>
          <w:jc w:val="center"/>
        </w:trPr>
        <w:tc>
          <w:tcPr>
            <w:tcW w:w="18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79" w:hRule="atLeast"/>
          <w:jc w:val="center"/>
        </w:trPr>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369" w:hRule="atLeast"/>
          <w:jc w:val="center"/>
        </w:trPr>
        <w:tc>
          <w:tcPr>
            <w:tcW w:w="389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p>
            <w:pPr>
              <w:widowControl/>
              <w:jc w:val="center"/>
              <w:rPr>
                <w:rFonts w:ascii="宋体" w:hAnsi="宋体" w:cs="宋体"/>
                <w:kern w:val="0"/>
                <w:sz w:val="20"/>
              </w:rPr>
            </w:pPr>
          </w:p>
          <w:p>
            <w:pPr>
              <w:widowControl/>
              <w:jc w:val="center"/>
              <w:rPr>
                <w:rFonts w:ascii="宋体" w:hAnsi="宋体" w:cs="宋体"/>
                <w:kern w:val="0"/>
                <w:sz w:val="20"/>
              </w:rPr>
            </w:pPr>
          </w:p>
        </w:tc>
        <w:tc>
          <w:tcPr>
            <w:tcW w:w="21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jc w:val="center"/>
        <w:rPr>
          <w:rFonts w:hint="eastAsia" w:ascii="仿宋_GB2312" w:eastAsia="仿宋_GB2312"/>
          <w:sz w:val="32"/>
          <w:szCs w:val="32"/>
        </w:rPr>
      </w:pPr>
      <w:r>
        <w:rPr>
          <w:rFonts w:hint="eastAsia" w:ascii="仿宋_GB2312" w:eastAsia="仿宋_GB2312"/>
          <w:sz w:val="32"/>
          <w:szCs w:val="32"/>
        </w:rPr>
        <w:t>（注：此表为空表）</w:t>
      </w:r>
    </w:p>
    <w:p>
      <w:pPr>
        <w:rPr>
          <w:rFonts w:hint="eastAsia" w:ascii="仿宋_GB2312" w:eastAsia="仿宋_GB2312"/>
          <w:sz w:val="32"/>
          <w:szCs w:val="32"/>
        </w:rPr>
      </w:pPr>
      <w:r>
        <w:rPr>
          <w:rFonts w:hint="eastAsia" w:ascii="仿宋_GB2312" w:eastAsia="仿宋_GB2312"/>
          <w:sz w:val="32"/>
          <w:szCs w:val="32"/>
        </w:rPr>
        <w:br w:type="page"/>
      </w:r>
    </w:p>
    <w:p>
      <w:pPr>
        <w:adjustRightInd w:val="0"/>
        <w:snapToGrid w:val="0"/>
        <w:spacing w:line="560" w:lineRule="exact"/>
        <w:ind w:firstLine="720" w:firstLineChars="200"/>
        <w:jc w:val="center"/>
        <w:rPr>
          <w:rFonts w:hint="eastAsia" w:ascii="小标宋" w:eastAsia="小标宋"/>
          <w:b/>
          <w:color w:val="000000"/>
          <w:sz w:val="36"/>
          <w:szCs w:val="36"/>
        </w:rPr>
      </w:pPr>
      <w:bookmarkStart w:id="5" w:name="RANGE!A1:K13"/>
      <w:bookmarkEnd w:id="5"/>
      <w:r>
        <w:rPr>
          <w:rFonts w:hint="eastAsia" w:ascii="小标宋" w:eastAsia="小标宋"/>
          <w:b/>
          <w:color w:val="000000"/>
          <w:sz w:val="36"/>
          <w:szCs w:val="36"/>
        </w:rPr>
        <w:t xml:space="preserve">第三部分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预算情况说明</w:t>
      </w:r>
    </w:p>
    <w:p>
      <w:pPr>
        <w:ind w:firstLine="640" w:firstLineChars="200"/>
        <w:rPr>
          <w:rFonts w:ascii="黑体" w:hAnsi="宋体" w:eastAsia="黑体"/>
          <w:color w:val="000000"/>
          <w:sz w:val="32"/>
          <w:szCs w:val="32"/>
        </w:rPr>
      </w:pP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一、关于</w:t>
      </w:r>
      <w:r>
        <w:rPr>
          <w:rFonts w:hint="eastAsia" w:ascii="黑体" w:hAnsi="宋体" w:eastAsia="黑体"/>
          <w:color w:val="000000"/>
          <w:sz w:val="32"/>
          <w:szCs w:val="32"/>
          <w:lang w:val="en-US" w:eastAsia="zh-CN"/>
        </w:rPr>
        <w:t>湟源县交通运输综合行政执法大队2023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收支预算情况的总体说明</w:t>
      </w:r>
    </w:p>
    <w:p>
      <w:pPr>
        <w:ind w:firstLine="640" w:firstLineChars="200"/>
        <w:rPr>
          <w:rFonts w:ascii="仿宋_GB2312" w:eastAsia="仿宋_GB2312"/>
          <w:sz w:val="32"/>
          <w:szCs w:val="32"/>
        </w:rPr>
      </w:pPr>
      <w:r>
        <w:rPr>
          <w:rFonts w:hint="eastAsia" w:ascii="仿宋_GB2312" w:eastAsia="仿宋_GB2312"/>
          <w:sz w:val="32"/>
          <w:szCs w:val="32"/>
        </w:rPr>
        <w:t>按照综合预算的原则，</w:t>
      </w:r>
      <w:r>
        <w:rPr>
          <w:rFonts w:hint="eastAsia" w:ascii="仿宋_GB2312" w:eastAsia="仿宋_GB2312"/>
          <w:sz w:val="32"/>
          <w:szCs w:val="32"/>
          <w:lang w:val="en-US" w:eastAsia="zh-CN"/>
        </w:rPr>
        <w:t>湟源县交通运输综合行政执法大队</w:t>
      </w:r>
      <w:r>
        <w:rPr>
          <w:rFonts w:hint="eastAsia" w:ascii="仿宋_GB2312" w:eastAsia="仿宋_GB2312"/>
          <w:sz w:val="32"/>
          <w:szCs w:val="32"/>
        </w:rPr>
        <w:t>所有收入和支出均纳入</w:t>
      </w:r>
      <w:r>
        <w:rPr>
          <w:rFonts w:hint="eastAsia" w:ascii="仿宋_GB2312" w:eastAsia="仿宋_GB2312"/>
          <w:sz w:val="32"/>
          <w:szCs w:val="32"/>
          <w:lang w:eastAsia="zh-CN"/>
        </w:rPr>
        <w:t>部门</w:t>
      </w:r>
      <w:r>
        <w:rPr>
          <w:rFonts w:hint="eastAsia" w:ascii="仿宋_GB2312" w:eastAsia="仿宋_GB2312"/>
          <w:sz w:val="32"/>
          <w:szCs w:val="32"/>
        </w:rPr>
        <w:t>预算管理。收入包括：</w:t>
      </w:r>
      <w:r>
        <w:rPr>
          <w:rFonts w:hint="eastAsia" w:ascii="仿宋_GB2312" w:eastAsia="仿宋_GB2312"/>
          <w:sz w:val="32"/>
          <w:szCs w:val="32"/>
          <w:lang w:val="en-US" w:eastAsia="zh-CN"/>
        </w:rPr>
        <w:t>一般公共预算拨款收入900.55万元，上年结转2.00万元</w:t>
      </w:r>
      <w:r>
        <w:rPr>
          <w:rFonts w:hint="eastAsia" w:ascii="仿宋_GB2312" w:eastAsia="仿宋_GB2312"/>
          <w:sz w:val="32"/>
          <w:szCs w:val="32"/>
        </w:rPr>
        <w:t>；支出包括：</w:t>
      </w:r>
      <w:r>
        <w:rPr>
          <w:rFonts w:hint="eastAsia" w:ascii="仿宋_GB2312" w:eastAsia="仿宋_GB2312"/>
          <w:sz w:val="32"/>
          <w:szCs w:val="32"/>
          <w:lang w:val="en-US" w:eastAsia="zh-CN"/>
        </w:rPr>
        <w:t>社会保障和就业支出153.17万元，卫生健康支出79.22万元，交通运输支出609.23万元，住房保障支出60.94万元</w:t>
      </w:r>
      <w:r>
        <w:rPr>
          <w:rFonts w:hint="eastAsia" w:ascii="仿宋_GB2312" w:eastAsia="仿宋_GB2312"/>
          <w:sz w:val="32"/>
          <w:szCs w:val="32"/>
        </w:rPr>
        <w:t>。</w:t>
      </w:r>
      <w:r>
        <w:rPr>
          <w:rFonts w:hint="eastAsia" w:ascii="仿宋_GB2312" w:eastAsia="仿宋_GB2312"/>
          <w:sz w:val="32"/>
          <w:szCs w:val="32"/>
          <w:lang w:val="en-US" w:eastAsia="zh-CN"/>
        </w:rPr>
        <w:t>湟源县交通运输综合行政执法大队2023</w:t>
      </w:r>
      <w:r>
        <w:rPr>
          <w:rFonts w:hint="eastAsia" w:ascii="仿宋_GB2312" w:eastAsia="仿宋_GB2312"/>
          <w:sz w:val="32"/>
          <w:szCs w:val="32"/>
        </w:rPr>
        <w:t>年收支总预算</w:t>
      </w:r>
      <w:r>
        <w:rPr>
          <w:rFonts w:hint="eastAsia" w:ascii="仿宋_GB2312" w:eastAsia="仿宋_GB2312"/>
          <w:sz w:val="32"/>
          <w:szCs w:val="32"/>
          <w:lang w:val="en-US" w:eastAsia="zh-CN"/>
        </w:rPr>
        <w:t>902.55</w:t>
      </w:r>
      <w:r>
        <w:rPr>
          <w:rFonts w:hint="eastAsia" w:ascii="仿宋_GB2312" w:eastAsia="仿宋_GB2312"/>
          <w:sz w:val="32"/>
          <w:szCs w:val="32"/>
        </w:rPr>
        <w:t>万元</w:t>
      </w:r>
      <w:r>
        <w:rPr>
          <w:rFonts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二、关于</w:t>
      </w:r>
      <w:r>
        <w:rPr>
          <w:rFonts w:hint="eastAsia" w:ascii="黑体" w:hAnsi="宋体" w:eastAsia="黑体"/>
          <w:color w:val="000000"/>
          <w:sz w:val="32"/>
          <w:szCs w:val="32"/>
          <w:lang w:val="en-US" w:eastAsia="zh-CN"/>
        </w:rPr>
        <w:t>湟源县交通运输综合行政执法大队2023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收入预算情况说明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湟源县交通运输综合行政执法大队2023</w:t>
      </w:r>
      <w:r>
        <w:rPr>
          <w:rFonts w:hint="eastAsia" w:ascii="仿宋_GB2312" w:eastAsia="仿宋_GB2312"/>
          <w:sz w:val="32"/>
          <w:szCs w:val="32"/>
        </w:rPr>
        <w:t>年收入预算</w:t>
      </w:r>
      <w:r>
        <w:rPr>
          <w:rFonts w:hint="eastAsia" w:ascii="仿宋_GB2312" w:eastAsia="仿宋_GB2312"/>
          <w:sz w:val="32"/>
          <w:szCs w:val="32"/>
          <w:lang w:val="en-US" w:eastAsia="zh-CN"/>
        </w:rPr>
        <w:t>902.55</w:t>
      </w:r>
      <w:r>
        <w:rPr>
          <w:rFonts w:hint="eastAsia" w:ascii="仿宋_GB2312" w:eastAsia="仿宋_GB2312"/>
          <w:sz w:val="32"/>
          <w:szCs w:val="32"/>
        </w:rPr>
        <w:t>万元，其中：</w:t>
      </w:r>
      <w:r>
        <w:rPr>
          <w:rFonts w:hint="eastAsia" w:ascii="仿宋_GB2312" w:eastAsia="仿宋_GB2312"/>
          <w:sz w:val="32"/>
          <w:szCs w:val="32"/>
          <w:lang w:val="en-US" w:eastAsia="zh-CN"/>
        </w:rPr>
        <w:t>上年结转2.00万元，占0.22%；一般公共预算拨款收入900.55万元，占99.78%</w:t>
      </w:r>
      <w:r>
        <w:rPr>
          <w:rFonts w:hint="eastAsia" w:ascii="仿宋_GB2312" w:eastAsia="仿宋_GB2312"/>
          <w:sz w:val="32"/>
          <w:szCs w:val="32"/>
        </w:rPr>
        <w:t>。</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5" o:spt="75" type="#_x0000_t75" style="height:168.8pt;width:366.95pt;" filled="f" o:preferrelative="t" stroked="f" coordsize="21600,21600">
            <v:path/>
            <v:fill on="f" focussize="0,0"/>
            <v:stroke on="f"/>
            <v:imagedata r:id="rId7"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三、关于</w:t>
      </w:r>
      <w:r>
        <w:rPr>
          <w:rFonts w:hint="eastAsia" w:ascii="黑体" w:hAnsi="宋体" w:eastAsia="黑体"/>
          <w:color w:val="000000"/>
          <w:sz w:val="32"/>
          <w:szCs w:val="32"/>
          <w:lang w:val="en-US" w:eastAsia="zh-CN"/>
        </w:rPr>
        <w:t>湟源县交通运输综合行政执法大队2023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支出预算情况说明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湟源县交通运输综合行政执法大队2023</w:t>
      </w:r>
      <w:r>
        <w:rPr>
          <w:rFonts w:hint="eastAsia" w:ascii="仿宋_GB2312" w:eastAsia="仿宋_GB2312"/>
          <w:sz w:val="32"/>
          <w:szCs w:val="32"/>
        </w:rPr>
        <w:t>年支出预算</w:t>
      </w:r>
      <w:r>
        <w:rPr>
          <w:rFonts w:hint="eastAsia" w:ascii="仿宋_GB2312" w:eastAsia="仿宋_GB2312"/>
          <w:sz w:val="32"/>
          <w:szCs w:val="32"/>
          <w:lang w:val="en-US" w:eastAsia="zh-CN"/>
        </w:rPr>
        <w:t>902.55</w:t>
      </w:r>
      <w:r>
        <w:rPr>
          <w:rFonts w:hint="eastAsia" w:ascii="仿宋_GB2312" w:eastAsia="仿宋_GB2312"/>
          <w:sz w:val="32"/>
          <w:szCs w:val="32"/>
        </w:rPr>
        <w:t>万元，其中：</w:t>
      </w:r>
      <w:r>
        <w:rPr>
          <w:rFonts w:hint="eastAsia" w:ascii="仿宋_GB2312" w:eastAsia="仿宋_GB2312"/>
          <w:sz w:val="32"/>
          <w:szCs w:val="32"/>
          <w:lang w:val="en-US" w:eastAsia="zh-CN"/>
        </w:rPr>
        <w:t>基本支出872.55万元，占96.68%；项目支出30.00万元，占3.32%</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6" o:spt="75" type="#_x0000_t75" style="height:168.15pt;width:365.5pt;" filled="f" o:preferrelative="t" stroked="f" coordsize="21600,21600">
            <v:path/>
            <v:fill on="f" focussize="0,0"/>
            <v:stroke on="f"/>
            <v:imagedata r:id="rId8" o:title=""/>
            <o:lock v:ext="edit" aspectratio="t"/>
            <w10:wrap type="none"/>
            <w10:anchorlock/>
          </v:shape>
        </w:pic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四、关于</w:t>
      </w:r>
      <w:r>
        <w:rPr>
          <w:rFonts w:hint="eastAsia" w:ascii="黑体" w:hAnsi="宋体" w:eastAsia="黑体"/>
          <w:color w:val="000000"/>
          <w:sz w:val="32"/>
          <w:szCs w:val="32"/>
          <w:lang w:val="en-US" w:eastAsia="zh-CN"/>
        </w:rPr>
        <w:t>湟源县交通运输综合行政执法大队2023</w:t>
      </w:r>
      <w:r>
        <w:rPr>
          <w:rFonts w:hint="eastAsia" w:ascii="黑体" w:hAnsi="宋体" w:eastAsia="黑体"/>
          <w:color w:val="000000"/>
          <w:sz w:val="32"/>
          <w:szCs w:val="32"/>
        </w:rPr>
        <w:t>年财政拨款收支预算情况的总体说明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湟源县交通运输综合行政执法大队2023</w:t>
      </w:r>
      <w:r>
        <w:rPr>
          <w:rFonts w:hint="eastAsia" w:ascii="仿宋_GB2312" w:eastAsia="仿宋_GB2312"/>
          <w:sz w:val="32"/>
          <w:szCs w:val="32"/>
        </w:rPr>
        <w:t>年财政拨款收支总预算</w:t>
      </w:r>
      <w:r>
        <w:rPr>
          <w:rFonts w:hint="eastAsia" w:ascii="仿宋_GB2312" w:eastAsia="仿宋_GB2312"/>
          <w:sz w:val="32"/>
          <w:szCs w:val="32"/>
          <w:lang w:val="en-US" w:eastAsia="zh-CN"/>
        </w:rPr>
        <w:t>902.55</w:t>
      </w:r>
      <w:r>
        <w:rPr>
          <w:rFonts w:hint="eastAsia" w:ascii="仿宋_GB2312" w:eastAsia="仿宋_GB2312"/>
          <w:sz w:val="32"/>
          <w:szCs w:val="32"/>
        </w:rPr>
        <w:t>万元，</w:t>
      </w:r>
      <w:r>
        <w:rPr>
          <w:rFonts w:hint="eastAsia" w:ascii="仿宋_GB2312" w:eastAsia="仿宋_GB2312"/>
          <w:color w:val="auto"/>
          <w:sz w:val="32"/>
          <w:szCs w:val="32"/>
          <w:highlight w:val="none"/>
        </w:rPr>
        <w:t>比上年</w:t>
      </w:r>
      <w:r>
        <w:rPr>
          <w:rFonts w:hint="eastAsia" w:ascii="仿宋_GB2312" w:eastAsia="仿宋_GB2312"/>
          <w:color w:val="auto"/>
          <w:sz w:val="32"/>
          <w:szCs w:val="32"/>
          <w:highlight w:val="none"/>
          <w:lang w:val="en-US" w:eastAsia="zh-CN"/>
        </w:rPr>
        <w:t>增加0.20</w:t>
      </w:r>
      <w:r>
        <w:rPr>
          <w:rFonts w:hint="eastAsia" w:ascii="仿宋_GB2312" w:eastAsia="仿宋_GB2312"/>
          <w:sz w:val="32"/>
          <w:szCs w:val="32"/>
        </w:rPr>
        <w:t>万元，主要是社会保障和就业支出、</w:t>
      </w:r>
      <w:r>
        <w:rPr>
          <w:rFonts w:hint="eastAsia" w:ascii="仿宋_GB2312" w:eastAsia="仿宋_GB2312"/>
          <w:sz w:val="32"/>
          <w:szCs w:val="32"/>
          <w:lang w:eastAsia="zh-CN"/>
        </w:rPr>
        <w:t>工资</w:t>
      </w:r>
      <w:r>
        <w:rPr>
          <w:rFonts w:hint="eastAsia" w:ascii="仿宋_GB2312" w:eastAsia="仿宋_GB2312"/>
          <w:sz w:val="32"/>
          <w:szCs w:val="32"/>
        </w:rPr>
        <w:t>、住房保障支出增加。收入包括：</w:t>
      </w:r>
      <w:r>
        <w:rPr>
          <w:rFonts w:hint="eastAsia" w:ascii="仿宋_GB2312" w:eastAsia="仿宋_GB2312"/>
          <w:sz w:val="32"/>
          <w:szCs w:val="32"/>
          <w:lang w:val="en-US" w:eastAsia="zh-CN"/>
        </w:rPr>
        <w:t>一般公共预算拨款收入900.55万元，上年结转2.00万元；政府性基金预算拨款收入0.00万元，上年结转0.00万元</w:t>
      </w:r>
      <w:r>
        <w:rPr>
          <w:rFonts w:hint="eastAsia" w:ascii="仿宋_GB2312" w:eastAsia="仿宋_GB2312"/>
          <w:sz w:val="32"/>
          <w:szCs w:val="32"/>
        </w:rPr>
        <w:t>。支出包括：</w:t>
      </w:r>
      <w:r>
        <w:rPr>
          <w:rFonts w:hint="eastAsia" w:ascii="仿宋_GB2312" w:eastAsia="仿宋_GB2312"/>
          <w:sz w:val="32"/>
          <w:szCs w:val="32"/>
          <w:lang w:val="en-US" w:eastAsia="zh-CN"/>
        </w:rPr>
        <w:t> 社会保障和就业支出153.17万元， 卫生健康支出79.22万元， 交通运输支出609.23万元， 住房保障支出60.94万元</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7" o:spt="75" type="#_x0000_t75" style="height:167.45pt;width:364pt;" filled="f" o:preferrelative="t" stroked="f" coordsize="21600,21600">
            <v:path/>
            <v:fill on="f" focussize="0,0"/>
            <v:stroke on="f"/>
            <v:imagedata r:id="rId9"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五、关于</w:t>
      </w:r>
      <w:r>
        <w:rPr>
          <w:rFonts w:hint="eastAsia" w:ascii="黑体" w:hAnsi="宋体" w:eastAsia="黑体"/>
          <w:color w:val="000000"/>
          <w:sz w:val="32"/>
          <w:szCs w:val="32"/>
          <w:lang w:val="en-US" w:eastAsia="zh-CN"/>
        </w:rPr>
        <w:t>湟源县交通运输综合行政执法大队2023</w:t>
      </w:r>
      <w:r>
        <w:rPr>
          <w:rFonts w:hint="eastAsia" w:ascii="黑体" w:hAnsi="宋体" w:eastAsia="黑体"/>
          <w:color w:val="000000"/>
          <w:sz w:val="32"/>
          <w:szCs w:val="32"/>
        </w:rPr>
        <w:t>年一般公共预算当年拨款情况说明</w:t>
      </w:r>
    </w:p>
    <w:p>
      <w:pPr>
        <w:ind w:firstLine="645"/>
        <w:rPr>
          <w:rFonts w:hint="eastAsia" w:ascii="仿宋_GB2312" w:eastAsia="仿宋_GB2312"/>
          <w:b/>
          <w:sz w:val="32"/>
          <w:szCs w:val="32"/>
        </w:rPr>
      </w:pPr>
      <w:r>
        <w:rPr>
          <w:rFonts w:hint="eastAsia" w:ascii="仿宋_GB2312" w:eastAsia="仿宋_GB2312"/>
          <w:b/>
          <w:sz w:val="32"/>
          <w:szCs w:val="32"/>
        </w:rPr>
        <w:t>（一）一般公共预算当年拨款规模变化情况。</w:t>
      </w:r>
    </w:p>
    <w:p>
      <w:pPr>
        <w:ind w:firstLine="645"/>
        <w:rPr>
          <w:rFonts w:hint="eastAsia" w:ascii="仿宋_GB2312" w:eastAsia="仿宋_GB2312"/>
          <w:sz w:val="32"/>
          <w:szCs w:val="32"/>
          <w:lang w:eastAsia="zh-CN"/>
        </w:rPr>
      </w:pPr>
      <w:r>
        <w:rPr>
          <w:rFonts w:hint="eastAsia" w:ascii="仿宋_GB2312" w:eastAsia="仿宋_GB2312"/>
          <w:sz w:val="32"/>
          <w:szCs w:val="32"/>
          <w:lang w:val="en-US" w:eastAsia="zh-CN"/>
        </w:rPr>
        <w:t>湟源县交通运输综合行政执法大队2023</w:t>
      </w:r>
      <w:r>
        <w:rPr>
          <w:rFonts w:hint="eastAsia" w:ascii="仿宋_GB2312" w:eastAsia="仿宋_GB2312"/>
          <w:sz w:val="32"/>
          <w:szCs w:val="32"/>
        </w:rPr>
        <w:t>年一般公共预算当年拨款</w:t>
      </w:r>
      <w:r>
        <w:rPr>
          <w:rFonts w:hint="eastAsia" w:ascii="仿宋_GB2312" w:eastAsia="仿宋_GB2312"/>
          <w:sz w:val="32"/>
          <w:szCs w:val="32"/>
          <w:lang w:val="en-US" w:eastAsia="zh-CN"/>
        </w:rPr>
        <w:t>900.55</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减少1.80</w:t>
      </w:r>
      <w:r>
        <w:rPr>
          <w:rFonts w:hint="eastAsia" w:ascii="仿宋_GB2312" w:eastAsia="仿宋_GB2312"/>
          <w:sz w:val="32"/>
          <w:szCs w:val="32"/>
        </w:rPr>
        <w:t>万元，主要是</w:t>
      </w:r>
      <w:r>
        <w:rPr>
          <w:rFonts w:hint="eastAsia" w:ascii="仿宋_GB2312" w:eastAsia="仿宋_GB2312"/>
          <w:sz w:val="32"/>
          <w:szCs w:val="32"/>
          <w:lang w:eastAsia="zh-CN"/>
        </w:rPr>
        <w:t>当年经费预算减少。</w:t>
      </w:r>
    </w:p>
    <w:p>
      <w:pPr>
        <w:ind w:firstLine="645"/>
        <w:rPr>
          <w:rFonts w:hint="default" w:ascii="仿宋_GB2312" w:eastAsia="仿宋_GB2312"/>
          <w:i w:val="0"/>
          <w:iCs/>
          <w:sz w:val="32"/>
          <w:szCs w:val="32"/>
          <w:u w:val="none"/>
          <w:lang w:val="en-US" w:eastAsia="zh-CN"/>
        </w:rPr>
      </w:pPr>
      <w:r>
        <w:rPr>
          <w:rFonts w:hint="eastAsia" w:ascii="仿宋_GB2312" w:eastAsia="仿宋_GB2312"/>
          <w:i w:val="0"/>
          <w:iCs/>
          <w:sz w:val="32"/>
          <w:szCs w:val="32"/>
          <w:u w:val="none"/>
          <w:lang w:val="en-US" w:eastAsia="zh-CN"/>
        </w:rPr>
        <w:pict>
          <v:shape id="_x0000_i1028" o:spt="75" type="#_x0000_t75" style="height:122.95pt;width:359.45pt;" filled="f" o:preferrelative="t" stroked="f" coordsize="21600,21600">
            <v:path/>
            <v:fill on="f" focussize="0,0"/>
            <v:stroke on="f"/>
            <v:imagedata r:id="rId10"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（二）一般公共预算当年拨款结构情况。</w:t>
      </w:r>
    </w:p>
    <w:p>
      <w:pPr>
        <w:ind w:firstLine="645"/>
        <w:rPr>
          <w:rFonts w:hint="eastAsia" w:ascii="仿宋_GB2312" w:eastAsia="仿宋_GB2312"/>
          <w:sz w:val="32"/>
          <w:szCs w:val="32"/>
        </w:rPr>
      </w:pPr>
      <w:r>
        <w:rPr>
          <w:rFonts w:hint="eastAsia" w:ascii="仿宋_GB2312" w:eastAsia="仿宋_GB2312"/>
          <w:sz w:val="32"/>
          <w:szCs w:val="32"/>
          <w:lang w:val="en-US" w:eastAsia="zh-CN"/>
        </w:rPr>
        <w:t>社会保障和就业支出153.17万元，占17.01%；卫生健康支出79.22万元，占8.80%；交通运输支出607.22万元，占67.43%；住房保障支出60.94万元，占6.77%</w:t>
      </w:r>
      <w:r>
        <w:rPr>
          <w:rFonts w:hint="eastAsia" w:ascii="仿宋_GB2312" w:eastAsia="仿宋_GB2312"/>
          <w:sz w:val="32"/>
          <w:szCs w:val="32"/>
        </w:rPr>
        <w:t>。</w:t>
      </w:r>
    </w:p>
    <w:p>
      <w:pPr>
        <w:ind w:firstLine="645"/>
        <w:rPr>
          <w:rFonts w:hint="default" w:ascii="仿宋_GB2312" w:eastAsia="仿宋_GB2312"/>
          <w:sz w:val="32"/>
          <w:szCs w:val="32"/>
          <w:lang w:val="en-US" w:eastAsia="zh-CN"/>
        </w:rPr>
      </w:pPr>
      <w:r>
        <w:rPr>
          <w:rFonts w:hint="eastAsia" w:ascii="仿宋_GB2312" w:eastAsia="仿宋_GB2312"/>
          <w:sz w:val="32"/>
          <w:szCs w:val="32"/>
          <w:lang w:val="en-US" w:eastAsia="zh-CN"/>
        </w:rPr>
        <w:pict>
          <v:shape id="_x0000_i1029" o:spt="75" type="#_x0000_t75" style="height:160.75pt;width:349.5pt;" filled="f" o:preferrelative="t" stroked="f" coordsize="21600,21600">
            <v:path/>
            <v:fill on="f" focussize="0,0"/>
            <v:stroke on="f"/>
            <v:imagedata r:id="rId11"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（三）一般公共预算当年拨款具体使用情况。</w:t>
      </w:r>
    </w:p>
    <w:p>
      <w:pPr>
        <w:ind w:firstLine="645"/>
        <w:rPr>
          <w:rFonts w:hint="eastAsia" w:ascii="仿宋_GB2312" w:eastAsia="仿宋_GB2312"/>
          <w:sz w:val="32"/>
          <w:szCs w:val="32"/>
          <w:lang w:val="en-US" w:eastAsia="zh-CN"/>
        </w:rPr>
      </w:pPr>
      <w:r>
        <w:rPr>
          <w:rFonts w:hint="eastAsia" w:ascii="仿宋_GB2312" w:eastAsia="仿宋_GB2312"/>
          <w:sz w:val="32"/>
          <w:szCs w:val="32"/>
        </w:rPr>
        <w:t>1、</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机关事业单位基本养老保险缴费支出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69.53</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增加13.25</w:t>
      </w:r>
      <w:r>
        <w:rPr>
          <w:rFonts w:hint="eastAsia" w:ascii="仿宋_GB2312" w:eastAsia="仿宋_GB2312"/>
          <w:sz w:val="32"/>
          <w:szCs w:val="32"/>
        </w:rPr>
        <w:t>万元，</w:t>
      </w:r>
      <w:r>
        <w:rPr>
          <w:rFonts w:hint="eastAsia" w:ascii="仿宋_GB2312" w:eastAsia="仿宋_GB2312"/>
          <w:sz w:val="32"/>
          <w:szCs w:val="32"/>
          <w:lang w:val="en-US" w:eastAsia="zh-CN"/>
        </w:rPr>
        <w:t>增长23.54</w:t>
      </w:r>
      <w:r>
        <w:rPr>
          <w:rFonts w:hint="eastAsia" w:ascii="仿宋_GB2312" w:eastAsia="仿宋_GB2312"/>
          <w:sz w:val="32"/>
          <w:szCs w:val="32"/>
        </w:rPr>
        <w:t>%。主要是工资调整，养老基数调整。</w:t>
      </w:r>
    </w:p>
    <w:p>
      <w:pPr>
        <w:ind w:firstLine="645"/>
        <w:rPr>
          <w:rFonts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机关事业单位职业年金缴费支出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34.76</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增加6.62</w:t>
      </w:r>
      <w:r>
        <w:rPr>
          <w:rFonts w:hint="eastAsia" w:ascii="仿宋_GB2312" w:eastAsia="仿宋_GB2312"/>
          <w:sz w:val="32"/>
          <w:szCs w:val="32"/>
        </w:rPr>
        <w:t>万元，</w:t>
      </w:r>
      <w:r>
        <w:rPr>
          <w:rFonts w:hint="eastAsia" w:ascii="仿宋_GB2312" w:eastAsia="仿宋_GB2312"/>
          <w:sz w:val="32"/>
          <w:szCs w:val="32"/>
          <w:lang w:val="en-US" w:eastAsia="zh-CN"/>
        </w:rPr>
        <w:t>增长23.53</w:t>
      </w:r>
      <w:r>
        <w:rPr>
          <w:rFonts w:hint="eastAsia" w:ascii="仿宋_GB2312" w:eastAsia="仿宋_GB2312"/>
          <w:sz w:val="32"/>
          <w:szCs w:val="32"/>
        </w:rPr>
        <w:t>%。主要是工资调整，</w:t>
      </w:r>
      <w:r>
        <w:rPr>
          <w:rFonts w:hint="eastAsia" w:ascii="仿宋_GB2312" w:eastAsia="仿宋_GB2312"/>
          <w:sz w:val="32"/>
          <w:szCs w:val="32"/>
          <w:lang w:eastAsia="zh-CN"/>
        </w:rPr>
        <w:t>职业年金</w:t>
      </w:r>
      <w:r>
        <w:rPr>
          <w:rFonts w:hint="eastAsia" w:ascii="仿宋_GB2312" w:eastAsia="仿宋_GB2312"/>
          <w:sz w:val="32"/>
          <w:szCs w:val="32"/>
        </w:rPr>
        <w:t>基数调整。</w:t>
      </w:r>
    </w:p>
    <w:p>
      <w:pPr>
        <w:ind w:firstLine="645"/>
        <w:rPr>
          <w:rFonts w:hint="eastAsia" w:ascii="仿宋_GB2312" w:eastAsia="仿宋_GB2312"/>
          <w:sz w:val="32"/>
          <w:szCs w:val="32"/>
          <w:lang w:val="en-US" w:eastAsia="zh-CN"/>
        </w:rPr>
      </w:pPr>
      <w:r>
        <w:rPr>
          <w:rFonts w:hint="eastAsia" w:ascii="仿宋_GB2312" w:eastAsia="仿宋_GB2312"/>
          <w:sz w:val="32"/>
          <w:szCs w:val="32"/>
        </w:rPr>
        <w:t>3、</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其他行政事业单位养老支出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45.57</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增加3.42</w:t>
      </w:r>
      <w:r>
        <w:rPr>
          <w:rFonts w:hint="eastAsia" w:ascii="仿宋_GB2312" w:eastAsia="仿宋_GB2312"/>
          <w:sz w:val="32"/>
          <w:szCs w:val="32"/>
        </w:rPr>
        <w:t>万元，</w:t>
      </w:r>
      <w:r>
        <w:rPr>
          <w:rFonts w:hint="eastAsia" w:ascii="仿宋_GB2312" w:eastAsia="仿宋_GB2312"/>
          <w:sz w:val="32"/>
          <w:szCs w:val="32"/>
          <w:lang w:val="en-US" w:eastAsia="zh-CN"/>
        </w:rPr>
        <w:t>增长8.11</w:t>
      </w:r>
      <w:r>
        <w:rPr>
          <w:rFonts w:hint="eastAsia" w:ascii="仿宋_GB2312" w:eastAsia="仿宋_GB2312"/>
          <w:sz w:val="32"/>
          <w:szCs w:val="32"/>
        </w:rPr>
        <w:t>%。主要是工资调整，基数调整。</w:t>
      </w:r>
    </w:p>
    <w:p>
      <w:pPr>
        <w:ind w:firstLine="645"/>
        <w:rPr>
          <w:rFonts w:hint="eastAsia" w:ascii="仿宋_GB2312" w:eastAsia="仿宋_GB2312"/>
          <w:sz w:val="32"/>
          <w:szCs w:val="32"/>
          <w:lang w:val="en-US" w:eastAsia="zh-CN"/>
        </w:rPr>
      </w:pPr>
      <w:r>
        <w:rPr>
          <w:rFonts w:hint="eastAsia" w:ascii="仿宋_GB2312" w:eastAsia="仿宋_GB2312"/>
          <w:sz w:val="32"/>
          <w:szCs w:val="32"/>
        </w:rPr>
        <w:t>4、</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（款）</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3.31</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减少0.53</w:t>
      </w:r>
      <w:r>
        <w:rPr>
          <w:rFonts w:hint="eastAsia" w:ascii="仿宋_GB2312" w:eastAsia="仿宋_GB2312"/>
          <w:sz w:val="32"/>
          <w:szCs w:val="32"/>
        </w:rPr>
        <w:t>万元，</w:t>
      </w:r>
      <w:r>
        <w:rPr>
          <w:rFonts w:hint="eastAsia" w:ascii="仿宋_GB2312" w:eastAsia="仿宋_GB2312"/>
          <w:sz w:val="32"/>
          <w:szCs w:val="32"/>
          <w:lang w:val="en-US" w:eastAsia="zh-CN"/>
        </w:rPr>
        <w:t>下降13.80</w:t>
      </w:r>
      <w:r>
        <w:rPr>
          <w:rFonts w:hint="eastAsia" w:ascii="仿宋_GB2312" w:eastAsia="仿宋_GB2312"/>
          <w:sz w:val="32"/>
          <w:szCs w:val="32"/>
        </w:rPr>
        <w:t>%。主要是工资调整，工伤保险、失业保险基数调整。</w:t>
      </w:r>
    </w:p>
    <w:p>
      <w:pPr>
        <w:ind w:firstLine="645"/>
        <w:rPr>
          <w:rFonts w:hint="eastAsia" w:ascii="仿宋_GB2312" w:eastAsia="仿宋_GB2312"/>
          <w:sz w:val="32"/>
          <w:szCs w:val="32"/>
          <w:lang w:val="en-US" w:eastAsia="zh-CN"/>
        </w:rPr>
      </w:pPr>
      <w:r>
        <w:rPr>
          <w:rFonts w:hint="eastAsia" w:ascii="仿宋_GB2312" w:eastAsia="仿宋_GB2312"/>
          <w:sz w:val="32"/>
          <w:szCs w:val="32"/>
        </w:rPr>
        <w:t>5、</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行政单位医疗</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10.50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增加1.05</w:t>
      </w:r>
      <w:r>
        <w:rPr>
          <w:rFonts w:hint="eastAsia" w:ascii="仿宋_GB2312" w:eastAsia="仿宋_GB2312"/>
          <w:sz w:val="32"/>
          <w:szCs w:val="32"/>
        </w:rPr>
        <w:t>万元，</w:t>
      </w:r>
      <w:r>
        <w:rPr>
          <w:rFonts w:hint="eastAsia" w:ascii="仿宋_GB2312" w:eastAsia="仿宋_GB2312"/>
          <w:sz w:val="32"/>
          <w:szCs w:val="32"/>
          <w:lang w:val="en-US" w:eastAsia="zh-CN"/>
        </w:rPr>
        <w:t>增长11.11</w:t>
      </w:r>
      <w:r>
        <w:rPr>
          <w:rFonts w:hint="eastAsia" w:ascii="仿宋_GB2312" w:eastAsia="仿宋_GB2312"/>
          <w:sz w:val="32"/>
          <w:szCs w:val="32"/>
        </w:rPr>
        <w:t>%。主要是工资调整，事业单位医疗基数调</w:t>
      </w:r>
      <w:r>
        <w:rPr>
          <w:rFonts w:hint="eastAsia" w:ascii="仿宋_GB2312" w:eastAsia="仿宋_GB2312"/>
          <w:sz w:val="32"/>
          <w:szCs w:val="32"/>
          <w:lang w:eastAsia="zh-CN"/>
        </w:rPr>
        <w:t>整。</w:t>
      </w:r>
    </w:p>
    <w:p>
      <w:pPr>
        <w:ind w:firstLine="645"/>
        <w:rPr>
          <w:rFonts w:hint="eastAsia" w:ascii="仿宋_GB2312" w:eastAsia="仿宋_GB2312"/>
          <w:sz w:val="32"/>
          <w:szCs w:val="32"/>
          <w:lang w:val="en-US" w:eastAsia="zh-CN"/>
        </w:rPr>
      </w:pPr>
      <w:r>
        <w:rPr>
          <w:rFonts w:hint="eastAsia" w:ascii="仿宋_GB2312" w:eastAsia="仿宋_GB2312"/>
          <w:sz w:val="32"/>
          <w:szCs w:val="32"/>
        </w:rPr>
        <w:t>6、</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事业单位医疗</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39.32</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减少1.86</w:t>
      </w:r>
      <w:r>
        <w:rPr>
          <w:rFonts w:hint="eastAsia" w:ascii="仿宋_GB2312" w:eastAsia="仿宋_GB2312"/>
          <w:sz w:val="32"/>
          <w:szCs w:val="32"/>
        </w:rPr>
        <w:t>万元，</w:t>
      </w:r>
      <w:r>
        <w:rPr>
          <w:rFonts w:hint="eastAsia" w:ascii="仿宋_GB2312" w:eastAsia="仿宋_GB2312"/>
          <w:sz w:val="32"/>
          <w:szCs w:val="32"/>
          <w:lang w:val="en-US" w:eastAsia="zh-CN"/>
        </w:rPr>
        <w:t>下降4.52</w:t>
      </w:r>
      <w:r>
        <w:rPr>
          <w:rFonts w:hint="eastAsia" w:ascii="仿宋_GB2312" w:eastAsia="仿宋_GB2312"/>
          <w:sz w:val="32"/>
          <w:szCs w:val="32"/>
        </w:rPr>
        <w:t>%。主要是工资调整，事业单位医疗基数调整</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7、</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公务员医疗补助</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29.40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减少4.69</w:t>
      </w:r>
      <w:r>
        <w:rPr>
          <w:rFonts w:hint="eastAsia" w:ascii="仿宋_GB2312" w:eastAsia="仿宋_GB2312"/>
          <w:sz w:val="32"/>
          <w:szCs w:val="32"/>
        </w:rPr>
        <w:t>万元，</w:t>
      </w:r>
      <w:r>
        <w:rPr>
          <w:rFonts w:hint="eastAsia" w:ascii="仿宋_GB2312" w:eastAsia="仿宋_GB2312"/>
          <w:sz w:val="32"/>
          <w:szCs w:val="32"/>
          <w:lang w:val="en-US" w:eastAsia="zh-CN"/>
        </w:rPr>
        <w:t>下降13.76</w:t>
      </w:r>
      <w:r>
        <w:rPr>
          <w:rFonts w:hint="eastAsia" w:ascii="仿宋_GB2312" w:eastAsia="仿宋_GB2312"/>
          <w:sz w:val="32"/>
          <w:szCs w:val="32"/>
        </w:rPr>
        <w:t>%。主要是工资调整，</w:t>
      </w:r>
      <w:r>
        <w:rPr>
          <w:rFonts w:hint="eastAsia" w:ascii="仿宋_GB2312" w:eastAsia="仿宋_GB2312"/>
          <w:sz w:val="32"/>
          <w:szCs w:val="32"/>
          <w:lang w:eastAsia="zh-CN"/>
        </w:rPr>
        <w:t>公务员</w:t>
      </w:r>
      <w:r>
        <w:rPr>
          <w:rFonts w:hint="eastAsia" w:ascii="仿宋_GB2312" w:eastAsia="仿宋_GB2312"/>
          <w:sz w:val="32"/>
          <w:szCs w:val="32"/>
        </w:rPr>
        <w:t>医疗</w:t>
      </w:r>
      <w:r>
        <w:rPr>
          <w:rFonts w:hint="eastAsia" w:ascii="仿宋_GB2312" w:eastAsia="仿宋_GB2312"/>
          <w:sz w:val="32"/>
          <w:szCs w:val="32"/>
          <w:lang w:eastAsia="zh-CN"/>
        </w:rPr>
        <w:t>补助</w:t>
      </w:r>
      <w:r>
        <w:rPr>
          <w:rFonts w:hint="eastAsia" w:ascii="仿宋_GB2312" w:eastAsia="仿宋_GB2312"/>
          <w:sz w:val="32"/>
          <w:szCs w:val="32"/>
        </w:rPr>
        <w:t>基数调整</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8、</w:t>
      </w:r>
      <w:r>
        <w:rPr>
          <w:rFonts w:hint="eastAsia" w:ascii="仿宋_GB2312" w:eastAsia="仿宋_GB2312"/>
          <w:sz w:val="32"/>
          <w:szCs w:val="32"/>
          <w:lang w:val="en-US" w:eastAsia="zh-CN"/>
        </w:rPr>
        <w:t>交通运输支出</w:t>
      </w:r>
      <w:r>
        <w:rPr>
          <w:rFonts w:hint="eastAsia" w:ascii="仿宋_GB2312" w:eastAsia="仿宋_GB2312"/>
          <w:sz w:val="32"/>
          <w:szCs w:val="32"/>
        </w:rPr>
        <w:t>（类）</w:t>
      </w:r>
      <w:r>
        <w:rPr>
          <w:rFonts w:hint="eastAsia" w:ascii="仿宋_GB2312" w:eastAsia="仿宋_GB2312"/>
          <w:sz w:val="32"/>
          <w:szCs w:val="32"/>
          <w:lang w:val="en-US" w:eastAsia="zh-CN"/>
        </w:rPr>
        <w:t>公路水路运输</w:t>
      </w:r>
      <w:r>
        <w:rPr>
          <w:rFonts w:hint="eastAsia" w:ascii="仿宋_GB2312" w:eastAsia="仿宋_GB2312"/>
          <w:sz w:val="32"/>
          <w:szCs w:val="32"/>
        </w:rPr>
        <w:t>（款）</w:t>
      </w:r>
      <w:r>
        <w:rPr>
          <w:rFonts w:hint="eastAsia" w:ascii="仿宋_GB2312" w:eastAsia="仿宋_GB2312"/>
          <w:sz w:val="32"/>
          <w:szCs w:val="32"/>
          <w:lang w:val="en-US" w:eastAsia="zh-CN"/>
        </w:rPr>
        <w:t>公路运输管理</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607.22</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减少28.77</w:t>
      </w:r>
      <w:r>
        <w:rPr>
          <w:rFonts w:hint="eastAsia" w:ascii="仿宋_GB2312" w:eastAsia="仿宋_GB2312"/>
          <w:sz w:val="32"/>
          <w:szCs w:val="32"/>
        </w:rPr>
        <w:t>万元，</w:t>
      </w:r>
      <w:r>
        <w:rPr>
          <w:rFonts w:hint="eastAsia" w:ascii="仿宋_GB2312" w:eastAsia="仿宋_GB2312"/>
          <w:sz w:val="32"/>
          <w:szCs w:val="32"/>
          <w:lang w:val="en-US" w:eastAsia="zh-CN"/>
        </w:rPr>
        <w:t>下降4.52</w:t>
      </w:r>
      <w:r>
        <w:rPr>
          <w:rFonts w:hint="eastAsia" w:ascii="仿宋_GB2312" w:eastAsia="仿宋_GB2312"/>
          <w:sz w:val="32"/>
          <w:szCs w:val="32"/>
        </w:rPr>
        <w:t>%。主要是</w:t>
      </w:r>
      <w:r>
        <w:rPr>
          <w:rFonts w:hint="eastAsia" w:ascii="仿宋_GB2312" w:eastAsia="仿宋_GB2312"/>
          <w:sz w:val="32"/>
          <w:szCs w:val="32"/>
          <w:lang w:eastAsia="zh-CN"/>
        </w:rPr>
        <w:t>当年经费预算缩减</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9、</w:t>
      </w:r>
      <w:r>
        <w:rPr>
          <w:rFonts w:hint="eastAsia" w:ascii="仿宋_GB2312" w:eastAsia="仿宋_GB2312"/>
          <w:sz w:val="32"/>
          <w:szCs w:val="32"/>
          <w:lang w:val="en-US" w:eastAsia="zh-CN"/>
        </w:rPr>
        <w:t>住房保障支出</w:t>
      </w:r>
      <w:r>
        <w:rPr>
          <w:rFonts w:hint="eastAsia" w:ascii="仿宋_GB2312" w:eastAsia="仿宋_GB2312"/>
          <w:sz w:val="32"/>
          <w:szCs w:val="32"/>
        </w:rPr>
        <w:t>（类）</w:t>
      </w:r>
      <w:r>
        <w:rPr>
          <w:rFonts w:hint="eastAsia" w:ascii="仿宋_GB2312" w:eastAsia="仿宋_GB2312"/>
          <w:sz w:val="32"/>
          <w:szCs w:val="32"/>
          <w:lang w:val="en-US" w:eastAsia="zh-CN"/>
        </w:rPr>
        <w:t>住房改革支出</w:t>
      </w:r>
      <w:r>
        <w:rPr>
          <w:rFonts w:hint="eastAsia" w:ascii="仿宋_GB2312" w:eastAsia="仿宋_GB2312"/>
          <w:sz w:val="32"/>
          <w:szCs w:val="32"/>
        </w:rPr>
        <w:t>（款）</w:t>
      </w:r>
      <w:r>
        <w:rPr>
          <w:rFonts w:hint="eastAsia" w:ascii="仿宋_GB2312" w:eastAsia="仿宋_GB2312"/>
          <w:sz w:val="32"/>
          <w:szCs w:val="32"/>
          <w:lang w:val="en-US" w:eastAsia="zh-CN"/>
        </w:rPr>
        <w:t>住房公积金</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60.94</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增加9.71</w:t>
      </w:r>
      <w:r>
        <w:rPr>
          <w:rFonts w:hint="eastAsia" w:ascii="仿宋_GB2312" w:eastAsia="仿宋_GB2312"/>
          <w:sz w:val="32"/>
          <w:szCs w:val="32"/>
        </w:rPr>
        <w:t>万元，</w:t>
      </w:r>
      <w:r>
        <w:rPr>
          <w:rFonts w:hint="eastAsia" w:ascii="仿宋_GB2312" w:eastAsia="仿宋_GB2312"/>
          <w:sz w:val="32"/>
          <w:szCs w:val="32"/>
          <w:lang w:val="en-US" w:eastAsia="zh-CN"/>
        </w:rPr>
        <w:t>增长18.95</w:t>
      </w:r>
      <w:r>
        <w:rPr>
          <w:rFonts w:hint="eastAsia" w:ascii="仿宋_GB2312" w:eastAsia="仿宋_GB2312"/>
          <w:sz w:val="32"/>
          <w:szCs w:val="32"/>
        </w:rPr>
        <w:t>%。主要是工资调整，</w:t>
      </w:r>
      <w:r>
        <w:rPr>
          <w:rFonts w:hint="eastAsia" w:ascii="仿宋_GB2312" w:eastAsia="仿宋_GB2312"/>
          <w:sz w:val="32"/>
          <w:szCs w:val="32"/>
          <w:lang w:eastAsia="zh-CN"/>
        </w:rPr>
        <w:t>住房公积金</w:t>
      </w:r>
      <w:r>
        <w:rPr>
          <w:rFonts w:hint="eastAsia" w:ascii="仿宋_GB2312" w:eastAsia="仿宋_GB2312"/>
          <w:sz w:val="32"/>
          <w:szCs w:val="32"/>
        </w:rPr>
        <w:t>基数调整</w:t>
      </w:r>
      <w:r>
        <w:rPr>
          <w:rFonts w:hint="eastAsia" w:ascii="仿宋_GB2312" w:eastAsia="仿宋_GB2312"/>
          <w:sz w:val="32"/>
          <w:szCs w:val="32"/>
          <w:lang w:val="en-US" w:eastAsia="zh-CN"/>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六</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湟源县交通运输综合行政执法大队2023</w:t>
      </w:r>
      <w:r>
        <w:rPr>
          <w:rFonts w:ascii="黑体" w:hAnsi="宋体" w:eastAsia="黑体"/>
          <w:color w:val="000000"/>
          <w:sz w:val="32"/>
          <w:szCs w:val="32"/>
        </w:rPr>
        <w:t>年</w:t>
      </w:r>
      <w:r>
        <w:rPr>
          <w:rFonts w:hint="eastAsia" w:ascii="黑体" w:hAnsi="宋体" w:eastAsia="黑体"/>
          <w:color w:val="000000"/>
          <w:sz w:val="32"/>
          <w:szCs w:val="32"/>
        </w:rPr>
        <w:t>一般公共预算基本支出情况说明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湟源县交通运输综合行政执法大队2023</w:t>
      </w:r>
      <w:r>
        <w:rPr>
          <w:rFonts w:hint="eastAsia" w:ascii="仿宋_GB2312" w:eastAsia="仿宋_GB2312"/>
          <w:sz w:val="32"/>
          <w:szCs w:val="32"/>
        </w:rPr>
        <w:t>年一般公共预算基本支出</w:t>
      </w:r>
      <w:r>
        <w:rPr>
          <w:rFonts w:hint="eastAsia" w:ascii="仿宋_GB2312" w:eastAsia="仿宋_GB2312"/>
          <w:sz w:val="32"/>
          <w:szCs w:val="32"/>
          <w:lang w:val="en-US" w:eastAsia="zh-CN"/>
        </w:rPr>
        <w:t>872.55</w:t>
      </w:r>
      <w:r>
        <w:rPr>
          <w:rFonts w:hint="eastAsia" w:ascii="仿宋_GB2312" w:eastAsia="仿宋_GB2312"/>
          <w:sz w:val="32"/>
          <w:szCs w:val="32"/>
        </w:rPr>
        <w:t>万元，其中：</w:t>
      </w:r>
    </w:p>
    <w:p>
      <w:pPr>
        <w:ind w:firstLine="640" w:firstLineChars="200"/>
        <w:rPr>
          <w:rFonts w:hint="eastAsia" w:ascii="仿宋_GB2312" w:eastAsia="仿宋_GB2312"/>
          <w:sz w:val="32"/>
          <w:szCs w:val="32"/>
        </w:rPr>
      </w:pPr>
      <w:r>
        <w:rPr>
          <w:rFonts w:hint="eastAsia" w:ascii="黑体" w:eastAsia="黑体"/>
          <w:sz w:val="32"/>
          <w:szCs w:val="32"/>
        </w:rPr>
        <w:t>人员经费</w:t>
      </w:r>
      <w:r>
        <w:rPr>
          <w:rFonts w:hint="eastAsia" w:ascii="仿宋_GB2312" w:eastAsia="仿宋_GB2312"/>
          <w:sz w:val="32"/>
          <w:szCs w:val="32"/>
          <w:lang w:val="en-US" w:eastAsia="zh-CN"/>
        </w:rPr>
        <w:t>841.45</w:t>
      </w:r>
      <w:r>
        <w:rPr>
          <w:rFonts w:hint="eastAsia" w:ascii="仿宋_GB2312" w:eastAsia="仿宋_GB2312"/>
          <w:sz w:val="32"/>
          <w:szCs w:val="32"/>
        </w:rPr>
        <w:t>万元，主要包括：</w:t>
      </w:r>
      <w:r>
        <w:rPr>
          <w:rFonts w:hint="eastAsia" w:ascii="仿宋_GB2312" w:eastAsia="仿宋_GB2312"/>
          <w:sz w:val="32"/>
          <w:szCs w:val="32"/>
          <w:lang w:val="en-US" w:eastAsia="zh-CN"/>
        </w:rPr>
        <w:t>基本工资160.70万元、津贴补贴125.92万元、绩效工资239.01万元、机关事业单位基本养老保险缴费69.53万元、职业年金缴费34.76万元、职工基本医疗保险缴费23.94万元、公务员医疗补助缴费29.40万元、其他社会保障缴费3.31万元、住房公积金60.94万元、其他工资福利支出22.50万元、退休费45.57万元、医疗费补助25.87万元</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黑体" w:eastAsia="黑体"/>
          <w:sz w:val="32"/>
          <w:szCs w:val="32"/>
        </w:rPr>
        <w:t>公用经费</w:t>
      </w:r>
      <w:r>
        <w:rPr>
          <w:rFonts w:hint="eastAsia" w:ascii="仿宋_GB2312" w:eastAsia="仿宋_GB2312"/>
          <w:sz w:val="32"/>
          <w:szCs w:val="32"/>
          <w:lang w:val="en-US" w:eastAsia="zh-CN"/>
        </w:rPr>
        <w:t>31.10</w:t>
      </w:r>
      <w:r>
        <w:rPr>
          <w:rFonts w:hint="eastAsia" w:ascii="仿宋_GB2312" w:eastAsia="仿宋_GB2312"/>
          <w:sz w:val="32"/>
          <w:szCs w:val="32"/>
        </w:rPr>
        <w:t>万元，主要包括：</w:t>
      </w:r>
      <w:r>
        <w:rPr>
          <w:rFonts w:hint="eastAsia" w:ascii="仿宋_GB2312" w:eastAsia="仿宋_GB2312"/>
          <w:sz w:val="32"/>
          <w:szCs w:val="32"/>
          <w:lang w:val="en-US" w:eastAsia="zh-CN"/>
        </w:rPr>
        <w:t>办公费3.20万元、水费0.80万元、电费0.80万元、邮电费2.40万元、取暖费4.00万元、差旅费2.40万元、公务接待费0.80万元、工会经费7.37万元、公务用车运行维护费6.30万元、其他商品和服务支出3.03万元</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七</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湟源县交通运输综合行政执法大队2023</w:t>
      </w:r>
      <w:r>
        <w:rPr>
          <w:rFonts w:ascii="黑体" w:hAnsi="宋体" w:eastAsia="黑体"/>
          <w:color w:val="000000"/>
          <w:sz w:val="32"/>
          <w:szCs w:val="32"/>
        </w:rPr>
        <w:t>年</w:t>
      </w:r>
      <w:r>
        <w:rPr>
          <w:rFonts w:hint="eastAsia" w:ascii="黑体" w:hAnsi="宋体" w:eastAsia="黑体"/>
          <w:color w:val="000000"/>
          <w:sz w:val="32"/>
          <w:szCs w:val="32"/>
        </w:rPr>
        <w:t>一般公共预算“三公”经费预算情况说明</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湟源县交通运输综合行政执法大队2023</w:t>
      </w:r>
      <w:r>
        <w:rPr>
          <w:rFonts w:hint="eastAsia" w:ascii="仿宋_GB2312" w:eastAsia="仿宋_GB2312"/>
          <w:sz w:val="32"/>
          <w:szCs w:val="32"/>
        </w:rPr>
        <w:t>年一般公共预算“三公”经费预算数为</w:t>
      </w:r>
      <w:r>
        <w:rPr>
          <w:rFonts w:hint="eastAsia" w:ascii="仿宋_GB2312" w:eastAsia="仿宋_GB2312"/>
          <w:sz w:val="32"/>
          <w:szCs w:val="32"/>
          <w:lang w:val="en-US" w:eastAsia="zh-CN"/>
        </w:rPr>
        <w:t>7.10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减少0.04</w:t>
      </w:r>
      <w:r>
        <w:rPr>
          <w:rFonts w:hint="eastAsia" w:ascii="仿宋_GB2312" w:eastAsia="仿宋_GB2312"/>
          <w:sz w:val="32"/>
          <w:szCs w:val="32"/>
        </w:rPr>
        <w:t>万元，其中：因公出国（境）费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万元；公务用车购置及运行费</w:t>
      </w:r>
      <w:r>
        <w:rPr>
          <w:rFonts w:hint="eastAsia" w:ascii="仿宋_GB2312" w:eastAsia="仿宋_GB2312"/>
          <w:sz w:val="32"/>
          <w:szCs w:val="32"/>
          <w:lang w:val="en-US" w:eastAsia="zh-CN"/>
        </w:rPr>
        <w:t>6.30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万元；公务接待费</w:t>
      </w:r>
      <w:r>
        <w:rPr>
          <w:rFonts w:hint="eastAsia" w:ascii="仿宋_GB2312" w:eastAsia="仿宋_GB2312"/>
          <w:sz w:val="32"/>
          <w:szCs w:val="32"/>
          <w:lang w:val="en-US" w:eastAsia="zh-CN"/>
        </w:rPr>
        <w:t>0.80</w:t>
      </w:r>
      <w:r>
        <w:rPr>
          <w:rFonts w:hint="eastAsia" w:ascii="仿宋_GB2312" w:eastAsia="仿宋_GB2312"/>
          <w:sz w:val="32"/>
          <w:szCs w:val="32"/>
        </w:rPr>
        <w:t>万元，</w:t>
      </w:r>
      <w:r>
        <w:rPr>
          <w:rFonts w:hint="eastAsia" w:ascii="仿宋_GB2312" w:eastAsia="仿宋_GB2312"/>
          <w:sz w:val="32"/>
          <w:szCs w:val="32"/>
          <w:lang w:val="en-US" w:eastAsia="zh-CN"/>
        </w:rPr>
        <w:t>减少0.04</w:t>
      </w:r>
      <w:r>
        <w:rPr>
          <w:rFonts w:hint="eastAsia" w:ascii="仿宋_GB2312" w:eastAsia="仿宋_GB2312"/>
          <w:sz w:val="32"/>
          <w:szCs w:val="32"/>
        </w:rPr>
        <w:t>万元。</w:t>
      </w:r>
      <w:r>
        <w:rPr>
          <w:rFonts w:hint="eastAsia" w:ascii="仿宋_GB2312" w:eastAsia="仿宋_GB2312"/>
          <w:sz w:val="32"/>
          <w:szCs w:val="32"/>
          <w:lang w:val="en-US" w:eastAsia="zh-CN"/>
        </w:rPr>
        <w:t>2023</w:t>
      </w:r>
      <w:r>
        <w:rPr>
          <w:rFonts w:hint="eastAsia" w:ascii="仿宋_GB2312" w:eastAsia="仿宋_GB2312"/>
          <w:sz w:val="32"/>
          <w:szCs w:val="32"/>
        </w:rPr>
        <w:t>年“三公”经费预算</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w:t>
      </w:r>
      <w:r>
        <w:rPr>
          <w:rFonts w:hint="eastAsia" w:ascii="仿宋_GB2312" w:eastAsia="仿宋_GB2312"/>
          <w:sz w:val="32"/>
          <w:szCs w:val="32"/>
        </w:rPr>
        <w:t>主要是</w:t>
      </w:r>
      <w:r>
        <w:rPr>
          <w:rFonts w:hint="eastAsia" w:ascii="仿宋_GB2312" w:eastAsia="仿宋_GB2312"/>
          <w:sz w:val="32"/>
          <w:szCs w:val="32"/>
          <w:lang w:eastAsia="zh-CN"/>
        </w:rPr>
        <w:t>车辆减少，预算费用也随之减少。</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八</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湟源县交通运输综合行政执法大队2023</w:t>
      </w:r>
      <w:r>
        <w:rPr>
          <w:rFonts w:ascii="黑体" w:hAnsi="宋体" w:eastAsia="黑体"/>
          <w:color w:val="000000"/>
          <w:sz w:val="32"/>
          <w:szCs w:val="32"/>
        </w:rPr>
        <w:t>年</w:t>
      </w:r>
      <w:r>
        <w:rPr>
          <w:rFonts w:hint="eastAsia" w:ascii="黑体" w:hAnsi="宋体" w:eastAsia="黑体"/>
          <w:color w:val="000000"/>
          <w:sz w:val="32"/>
          <w:szCs w:val="32"/>
        </w:rPr>
        <w:t>政府性基金预算支出情况的说明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湟源县交通运输综合行政执法大队2023</w:t>
      </w:r>
      <w:r>
        <w:rPr>
          <w:rFonts w:hint="eastAsia" w:ascii="仿宋_GB2312" w:eastAsia="仿宋_GB2312"/>
          <w:sz w:val="32"/>
          <w:szCs w:val="32"/>
        </w:rPr>
        <w:t>年没有使用政府性基金预算拨款安排的支出。</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九、其他重要事项的情况说明</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（一）机关运行经费安排情况。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湟源县交通运输综合行政执法大队</w:t>
      </w:r>
      <w:r>
        <w:rPr>
          <w:rFonts w:hint="eastAsia" w:ascii="仿宋_GB2312" w:hAnsi="仿宋" w:eastAsia="仿宋_GB2312"/>
          <w:spacing w:val="-6"/>
          <w:kern w:val="2"/>
          <w:sz w:val="32"/>
          <w:szCs w:val="32"/>
          <w:lang w:val="en-US"/>
        </w:rPr>
        <w:t>机关运行经费财政拨款预算31.10万元，</w:t>
      </w:r>
      <w:r>
        <w:rPr>
          <w:rFonts w:hint="eastAsia" w:ascii="仿宋_GB2312" w:hAnsi="仿宋" w:eastAsia="仿宋_GB2312"/>
          <w:spacing w:val="-6"/>
          <w:kern w:val="2"/>
          <w:sz w:val="32"/>
          <w:szCs w:val="32"/>
          <w:highlight w:val="none"/>
          <w:lang w:val="en-US"/>
        </w:rPr>
        <w:t>比</w:t>
      </w:r>
      <w:r>
        <w:rPr>
          <w:rFonts w:hint="eastAsia" w:ascii="仿宋_GB2312" w:eastAsia="仿宋_GB2312"/>
          <w:sz w:val="32"/>
          <w:szCs w:val="32"/>
          <w:highlight w:val="none"/>
        </w:rPr>
        <w:t>上</w:t>
      </w:r>
      <w:r>
        <w:rPr>
          <w:rFonts w:hint="eastAsia" w:ascii="仿宋_GB2312" w:hAnsi="仿宋" w:eastAsia="仿宋_GB2312"/>
          <w:spacing w:val="-6"/>
          <w:kern w:val="2"/>
          <w:sz w:val="32"/>
          <w:szCs w:val="32"/>
          <w:highlight w:val="none"/>
          <w:lang w:val="en-US"/>
        </w:rPr>
        <w:t>年</w:t>
      </w:r>
      <w:r>
        <w:rPr>
          <w:rFonts w:hint="eastAsia" w:ascii="仿宋_GB2312" w:hAnsi="仿宋" w:eastAsia="仿宋_GB2312"/>
          <w:spacing w:val="-6"/>
          <w:kern w:val="2"/>
          <w:sz w:val="32"/>
          <w:szCs w:val="32"/>
          <w:lang w:val="en-US"/>
        </w:rPr>
        <w:t>预算减少1.95万元，下降5.90%。主要是运行经费</w:t>
      </w:r>
      <w:r>
        <w:rPr>
          <w:rFonts w:hint="eastAsia" w:ascii="仿宋_GB2312" w:hAnsi="仿宋" w:eastAsia="仿宋_GB2312"/>
          <w:spacing w:val="-6"/>
          <w:kern w:val="2"/>
          <w:sz w:val="32"/>
          <w:szCs w:val="32"/>
          <w:lang w:val="en-US" w:eastAsia="zh-CN"/>
        </w:rPr>
        <w:t>预算缩减</w:t>
      </w:r>
      <w:r>
        <w:rPr>
          <w:rFonts w:hint="eastAsia" w:ascii="仿宋_GB2312" w:hAnsi="仿宋" w:eastAsia="仿宋_GB2312"/>
          <w:spacing w:val="-6"/>
          <w:kern w:val="2"/>
          <w:sz w:val="32"/>
          <w:szCs w:val="32"/>
          <w:lang w:val="en-US"/>
        </w:rPr>
        <w:t>。</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（二）政府采购安排情况。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湟源县交通运输综合行政执法大队各单位</w:t>
      </w:r>
      <w:r>
        <w:rPr>
          <w:rFonts w:hint="eastAsia" w:ascii="仿宋_GB2312" w:hAnsi="仿宋" w:eastAsia="仿宋_GB2312"/>
          <w:spacing w:val="-6"/>
          <w:kern w:val="2"/>
          <w:sz w:val="32"/>
          <w:szCs w:val="32"/>
          <w:lang w:val="en-US"/>
        </w:rPr>
        <w:t>政府采购预算总额</w:t>
      </w:r>
      <w:r>
        <w:rPr>
          <w:rFonts w:hint="eastAsia" w:ascii="仿宋_GB2312" w:hAnsi="仿宋" w:eastAsia="仿宋_GB2312"/>
          <w:spacing w:val="-6"/>
          <w:kern w:val="2"/>
          <w:sz w:val="32"/>
          <w:szCs w:val="32"/>
          <w:lang w:val="en-US" w:eastAsia="zh-CN"/>
        </w:rPr>
        <w:t>10</w:t>
      </w:r>
      <w:r>
        <w:rPr>
          <w:rFonts w:hint="eastAsia" w:ascii="仿宋_GB2312" w:hAnsi="仿宋" w:eastAsia="仿宋_GB2312"/>
          <w:spacing w:val="-6"/>
          <w:kern w:val="2"/>
          <w:sz w:val="32"/>
          <w:szCs w:val="32"/>
          <w:lang w:val="en-US"/>
        </w:rPr>
        <w:t>万元，其中：政府采购货物预算</w:t>
      </w:r>
      <w:r>
        <w:rPr>
          <w:rFonts w:hint="eastAsia" w:ascii="仿宋_GB2312" w:hAnsi="仿宋" w:eastAsia="仿宋_GB2312"/>
          <w:spacing w:val="-6"/>
          <w:kern w:val="2"/>
          <w:sz w:val="32"/>
          <w:szCs w:val="32"/>
          <w:lang w:val="en-US" w:eastAsia="zh-CN"/>
        </w:rPr>
        <w:t>10</w:t>
      </w:r>
      <w:r>
        <w:rPr>
          <w:rFonts w:hint="eastAsia" w:ascii="仿宋_GB2312" w:hAnsi="仿宋" w:eastAsia="仿宋_GB2312"/>
          <w:spacing w:val="-6"/>
          <w:kern w:val="2"/>
          <w:sz w:val="32"/>
          <w:szCs w:val="32"/>
          <w:lang w:val="en-US"/>
        </w:rPr>
        <w:t>万元。</w:t>
      </w:r>
    </w:p>
    <w:p>
      <w:pPr>
        <w:adjustRightInd w:val="0"/>
        <w:snapToGrid w:val="0"/>
        <w:spacing w:line="560" w:lineRule="exact"/>
        <w:ind w:firstLine="619" w:firstLineChars="200"/>
        <w:rPr>
          <w:rFonts w:hint="eastAsia" w:ascii="楷体" w:hAnsi="楷体" w:eastAsia="楷体"/>
          <w:color w:val="000000"/>
          <w:sz w:val="30"/>
          <w:szCs w:val="30"/>
        </w:rPr>
      </w:pPr>
      <w:r>
        <w:rPr>
          <w:rFonts w:hint="eastAsia" w:ascii="仿宋_GB2312" w:hAnsi="仿宋" w:eastAsia="仿宋_GB2312"/>
          <w:b/>
          <w:spacing w:val="-6"/>
          <w:sz w:val="32"/>
          <w:szCs w:val="32"/>
        </w:rPr>
        <w:t>（三）国有资产占有使用情况。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截至2023年</w:t>
      </w:r>
      <w:r>
        <w:rPr>
          <w:rFonts w:hint="eastAsia" w:ascii="仿宋_GB2312" w:hAnsi="仿宋" w:eastAsia="仿宋_GB2312"/>
          <w:spacing w:val="-6"/>
          <w:kern w:val="2"/>
          <w:sz w:val="32"/>
          <w:szCs w:val="32"/>
          <w:lang w:val="en-US" w:eastAsia="zh-CN"/>
        </w:rPr>
        <w:t>2</w:t>
      </w:r>
      <w:r>
        <w:rPr>
          <w:rFonts w:hint="eastAsia" w:ascii="仿宋_GB2312" w:hAnsi="仿宋" w:eastAsia="仿宋_GB2312"/>
          <w:spacing w:val="-6"/>
          <w:kern w:val="2"/>
          <w:sz w:val="32"/>
          <w:szCs w:val="32"/>
          <w:lang w:val="en-US"/>
        </w:rPr>
        <w:t>月底，</w:t>
      </w:r>
      <w:r>
        <w:rPr>
          <w:rFonts w:hint="eastAsia" w:ascii="仿宋_GB2312" w:hAnsi="仿宋" w:eastAsia="仿宋_GB2312"/>
          <w:spacing w:val="-6"/>
          <w:kern w:val="2"/>
          <w:sz w:val="32"/>
          <w:szCs w:val="32"/>
          <w:lang w:val="en-US" w:eastAsia="zh-CN"/>
        </w:rPr>
        <w:t>湟源县交通运输综合行政执法大队所属各预算单位</w:t>
      </w:r>
      <w:r>
        <w:rPr>
          <w:rFonts w:hint="eastAsia" w:ascii="仿宋_GB2312" w:hAnsi="仿宋" w:eastAsia="仿宋_GB2312"/>
          <w:spacing w:val="-6"/>
          <w:kern w:val="2"/>
          <w:sz w:val="32"/>
          <w:szCs w:val="32"/>
          <w:lang w:val="en-US"/>
        </w:rPr>
        <w:t>共有车辆</w:t>
      </w:r>
      <w:r>
        <w:rPr>
          <w:rFonts w:hint="eastAsia" w:ascii="仿宋_GB2312" w:hAnsi="仿宋" w:eastAsia="仿宋_GB2312"/>
          <w:spacing w:val="-6"/>
          <w:kern w:val="2"/>
          <w:sz w:val="32"/>
          <w:szCs w:val="32"/>
          <w:lang w:val="en-US" w:eastAsia="zh-CN"/>
        </w:rPr>
        <w:t>6</w:t>
      </w:r>
      <w:r>
        <w:rPr>
          <w:rFonts w:hint="eastAsia" w:ascii="仿宋_GB2312" w:hAnsi="仿宋" w:eastAsia="仿宋_GB2312"/>
          <w:spacing w:val="-6"/>
          <w:kern w:val="2"/>
          <w:sz w:val="32"/>
          <w:szCs w:val="32"/>
          <w:lang w:val="en-US"/>
        </w:rPr>
        <w:t>辆，其中，省级领导干部用车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辆、厅级领导干部用车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辆、一般公务用车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辆、一般执法执勤用车</w:t>
      </w:r>
      <w:r>
        <w:rPr>
          <w:rFonts w:hint="eastAsia" w:ascii="仿宋_GB2312" w:hAnsi="仿宋" w:eastAsia="仿宋_GB2312"/>
          <w:spacing w:val="-6"/>
          <w:kern w:val="2"/>
          <w:sz w:val="32"/>
          <w:szCs w:val="32"/>
          <w:lang w:val="en-US" w:eastAsia="zh-CN"/>
        </w:rPr>
        <w:t>6</w:t>
      </w:r>
      <w:r>
        <w:rPr>
          <w:rFonts w:hint="eastAsia" w:ascii="仿宋_GB2312" w:hAnsi="仿宋" w:eastAsia="仿宋_GB2312"/>
          <w:spacing w:val="-6"/>
          <w:kern w:val="2"/>
          <w:sz w:val="32"/>
          <w:szCs w:val="32"/>
          <w:lang w:val="en-US"/>
        </w:rPr>
        <w:t>辆、特种专业技术用车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辆、其他用车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辆。单价50万元以上通用设备</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台（套），单价100万元以上专用设备</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台（套）。</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（四）绩效目标设置情况。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w:t>
      </w:r>
      <w:bookmarkStart w:id="6" w:name="_GoBack"/>
      <w:r>
        <w:rPr>
          <w:rFonts w:hint="eastAsia" w:ascii="仿宋_GB2312" w:hAnsi="仿宋" w:eastAsia="仿宋_GB2312"/>
          <w:spacing w:val="-6"/>
          <w:kern w:val="2"/>
          <w:sz w:val="32"/>
          <w:szCs w:val="32"/>
          <w:lang w:val="en-US"/>
        </w:rPr>
        <w:t>023年</w:t>
      </w:r>
      <w:r>
        <w:rPr>
          <w:rFonts w:hint="eastAsia" w:ascii="仿宋_GB2312" w:hAnsi="仿宋" w:eastAsia="仿宋_GB2312"/>
          <w:spacing w:val="-6"/>
          <w:kern w:val="2"/>
          <w:sz w:val="32"/>
          <w:szCs w:val="32"/>
          <w:lang w:val="en-US" w:eastAsia="zh-CN"/>
        </w:rPr>
        <w:t>湟源县交通运输综合行政执法大队</w:t>
      </w:r>
      <w:r>
        <w:rPr>
          <w:rFonts w:hint="eastAsia" w:ascii="仿宋_GB2312" w:hAnsi="仿宋" w:eastAsia="仿宋_GB2312"/>
          <w:spacing w:val="-6"/>
          <w:kern w:val="2"/>
          <w:sz w:val="32"/>
          <w:szCs w:val="32"/>
          <w:lang w:val="en-US"/>
        </w:rPr>
        <w:t>预算均实行绩效目标管理，涉及项目</w:t>
      </w:r>
      <w:r>
        <w:rPr>
          <w:rFonts w:hint="eastAsia" w:ascii="仿宋_GB2312" w:hAnsi="仿宋" w:eastAsia="仿宋_GB2312"/>
          <w:spacing w:val="-6"/>
          <w:kern w:val="2"/>
          <w:sz w:val="32"/>
          <w:szCs w:val="32"/>
          <w:lang w:val="en-US" w:eastAsia="zh-CN"/>
        </w:rPr>
        <w:t>4</w:t>
      </w:r>
      <w:r>
        <w:rPr>
          <w:rFonts w:hint="eastAsia" w:ascii="仿宋_GB2312" w:hAnsi="仿宋" w:eastAsia="仿宋_GB2312"/>
          <w:spacing w:val="-6"/>
          <w:kern w:val="2"/>
          <w:sz w:val="32"/>
          <w:szCs w:val="32"/>
          <w:lang w:val="en-US"/>
        </w:rPr>
        <w:t>个，预算金额</w:t>
      </w:r>
      <w:r>
        <w:rPr>
          <w:rFonts w:hint="eastAsia" w:ascii="仿宋_GB2312" w:hAnsi="仿宋" w:eastAsia="仿宋_GB2312"/>
          <w:spacing w:val="-6"/>
          <w:kern w:val="2"/>
          <w:sz w:val="32"/>
          <w:szCs w:val="32"/>
          <w:lang w:val="en-US" w:eastAsia="zh-CN"/>
        </w:rPr>
        <w:t>28.00</w:t>
      </w:r>
      <w:r>
        <w:rPr>
          <w:rFonts w:hint="eastAsia" w:ascii="仿宋_GB2312" w:hAnsi="仿宋" w:eastAsia="仿宋_GB2312"/>
          <w:spacing w:val="-6"/>
          <w:kern w:val="2"/>
          <w:sz w:val="32"/>
          <w:szCs w:val="32"/>
          <w:lang w:val="en-US"/>
        </w:rPr>
        <w:t>万元。</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p>
    <w:bookmarkEnd w:id="6"/>
    <w:tbl>
      <w:tblPr>
        <w:tblStyle w:val="5"/>
        <w:tblW w:w="994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16"/>
        <w:gridCol w:w="922"/>
        <w:gridCol w:w="1772"/>
        <w:gridCol w:w="784"/>
        <w:gridCol w:w="755"/>
        <w:gridCol w:w="1428"/>
        <w:gridCol w:w="955"/>
        <w:gridCol w:w="955"/>
        <w:gridCol w:w="9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9942"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4110" w:type="dxa"/>
            <w:gridSpan w:val="3"/>
            <w:tcBorders>
              <w:top w:val="nil"/>
              <w:left w:val="nil"/>
              <w:bottom w:val="single" w:color="auto" w:sz="4" w:space="0"/>
              <w:right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预算年度：2023</w:t>
            </w:r>
          </w:p>
        </w:tc>
        <w:tc>
          <w:tcPr>
            <w:tcW w:w="784" w:type="dxa"/>
            <w:tcBorders>
              <w:top w:val="nil"/>
              <w:left w:val="nil"/>
              <w:bottom w:val="single" w:color="auto"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55" w:type="dxa"/>
            <w:tcBorders>
              <w:top w:val="nil"/>
              <w:left w:val="nil"/>
              <w:bottom w:val="single" w:color="auto"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28" w:type="dxa"/>
            <w:tcBorders>
              <w:top w:val="nil"/>
              <w:left w:val="nil"/>
              <w:bottom w:val="single" w:color="auto"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55" w:type="dxa"/>
            <w:tcBorders>
              <w:top w:val="nil"/>
              <w:left w:val="nil"/>
              <w:bottom w:val="single" w:color="auto"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10" w:type="dxa"/>
            <w:gridSpan w:val="2"/>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41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92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177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296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95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95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95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416"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9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77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7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14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95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5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5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2023年综合执法办案经费</w:t>
            </w:r>
          </w:p>
        </w:tc>
        <w:tc>
          <w:tcPr>
            <w:tcW w:w="92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15.00</w:t>
            </w:r>
          </w:p>
        </w:tc>
        <w:tc>
          <w:tcPr>
            <w:tcW w:w="177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主要用于查办交通案件相关的开支，包括执法业务费、培训费、专项器具费、各类执法信息系统的维护等。</w:t>
            </w:r>
          </w:p>
        </w:tc>
        <w:tc>
          <w:tcPr>
            <w:tcW w:w="7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质量指标</w:t>
            </w:r>
          </w:p>
        </w:tc>
        <w:tc>
          <w:tcPr>
            <w:tcW w:w="14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查办交通案件</w:t>
            </w:r>
          </w:p>
        </w:tc>
        <w:tc>
          <w:tcPr>
            <w:tcW w:w="9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7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4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查办交通案件</w:t>
            </w:r>
          </w:p>
        </w:tc>
        <w:tc>
          <w:tcPr>
            <w:tcW w:w="9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7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4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交通案件办理群众满意度</w:t>
            </w:r>
          </w:p>
        </w:tc>
        <w:tc>
          <w:tcPr>
            <w:tcW w:w="9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9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9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2023年治超经费</w:t>
            </w:r>
          </w:p>
        </w:tc>
        <w:tc>
          <w:tcPr>
            <w:tcW w:w="92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5.00</w:t>
            </w:r>
          </w:p>
        </w:tc>
        <w:tc>
          <w:tcPr>
            <w:tcW w:w="177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督导源头企业严格落实治超主体责任，规范装载。 严厉打击整治超限超载车辆上路行驶行为，消除安全隐患，保护公路路产路权及人民群众的生命财产安全。</w:t>
            </w:r>
          </w:p>
        </w:tc>
        <w:tc>
          <w:tcPr>
            <w:tcW w:w="7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质量指标</w:t>
            </w:r>
          </w:p>
        </w:tc>
        <w:tc>
          <w:tcPr>
            <w:tcW w:w="14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路面治理公里数</w:t>
            </w:r>
          </w:p>
        </w:tc>
        <w:tc>
          <w:tcPr>
            <w:tcW w:w="9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9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7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4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源头治超企业数</w:t>
            </w:r>
          </w:p>
        </w:tc>
        <w:tc>
          <w:tcPr>
            <w:tcW w:w="9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9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7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4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群众对治超工作满意度</w:t>
            </w:r>
          </w:p>
        </w:tc>
        <w:tc>
          <w:tcPr>
            <w:tcW w:w="9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2023年执法车辆经费</w:t>
            </w:r>
          </w:p>
        </w:tc>
        <w:tc>
          <w:tcPr>
            <w:tcW w:w="92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5.00</w:t>
            </w:r>
          </w:p>
        </w:tc>
        <w:tc>
          <w:tcPr>
            <w:tcW w:w="177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为交通运输综合行政执法工作提供基础保障，提高执法车辆安全系数，保障执法车辆的保险、燃油、维修等各项基本开支，确保执法车辆能够切实有效发挥作用，更好的保护路权路权以及人民群众的生命财产安全和合法权益。</w:t>
            </w:r>
          </w:p>
        </w:tc>
        <w:tc>
          <w:tcPr>
            <w:tcW w:w="7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4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6辆执法车辆费用</w:t>
            </w:r>
          </w:p>
        </w:tc>
        <w:tc>
          <w:tcPr>
            <w:tcW w:w="9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9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7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4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工作带来的社会效益</w:t>
            </w:r>
          </w:p>
        </w:tc>
        <w:tc>
          <w:tcPr>
            <w:tcW w:w="9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7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4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群众满意度</w:t>
            </w:r>
          </w:p>
        </w:tc>
        <w:tc>
          <w:tcPr>
            <w:tcW w:w="9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道路运输档案管理及工本费</w:t>
            </w:r>
          </w:p>
        </w:tc>
        <w:tc>
          <w:tcPr>
            <w:tcW w:w="92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3.00</w:t>
            </w:r>
          </w:p>
        </w:tc>
        <w:tc>
          <w:tcPr>
            <w:tcW w:w="177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健全道路货物运输车辆及从业人员档案，完善各类台账，做到有据可查，有法必依。</w:t>
            </w:r>
          </w:p>
        </w:tc>
        <w:tc>
          <w:tcPr>
            <w:tcW w:w="7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4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健全台账、档案</w:t>
            </w:r>
          </w:p>
        </w:tc>
        <w:tc>
          <w:tcPr>
            <w:tcW w:w="9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9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7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4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开展执法教育</w:t>
            </w:r>
          </w:p>
        </w:tc>
        <w:tc>
          <w:tcPr>
            <w:tcW w:w="9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9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优良</w:t>
            </w:r>
          </w:p>
        </w:tc>
        <w:tc>
          <w:tcPr>
            <w:tcW w:w="9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4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2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7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4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社会公众对相关法规宣传的满意度</w:t>
            </w:r>
          </w:p>
        </w:tc>
        <w:tc>
          <w:tcPr>
            <w:tcW w:w="9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bl>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p>
    <w:p>
      <w:pPr>
        <w:rPr>
          <w:rFonts w:ascii="小标宋" w:eastAsia="小标宋"/>
          <w:b/>
          <w:color w:val="000000"/>
          <w:sz w:val="36"/>
          <w:szCs w:val="36"/>
        </w:rPr>
      </w:pPr>
      <w:r>
        <w:rPr>
          <w:rFonts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第四部分  名词解释</w:t>
      </w:r>
    </w:p>
    <w:p>
      <w:pPr>
        <w:ind w:firstLine="640" w:firstLineChars="200"/>
        <w:rPr>
          <w:rFonts w:hint="eastAsia" w:ascii="仿宋_GB2312" w:eastAsia="仿宋_GB2312"/>
          <w:i/>
          <w:sz w:val="32"/>
          <w:szCs w:val="32"/>
          <w:u w:val="single"/>
        </w:rPr>
      </w:pPr>
      <w:r>
        <w:rPr>
          <w:rFonts w:hint="eastAsia" w:ascii="黑体" w:hAnsi="宋体" w:eastAsia="黑体"/>
          <w:color w:val="000000"/>
          <w:sz w:val="32"/>
          <w:szCs w:val="32"/>
        </w:rPr>
        <w:t>一、收入类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财政拨款收入：</w:t>
      </w:r>
      <w:r>
        <w:rPr>
          <w:rFonts w:ascii="仿宋_GB2312" w:eastAsia="仿宋_GB2312"/>
          <w:sz w:val="32"/>
          <w:szCs w:val="32"/>
        </w:rPr>
        <w:t>指</w:t>
      </w:r>
      <w:r>
        <w:rPr>
          <w:rFonts w:hint="eastAsia" w:ascii="仿宋_GB2312" w:eastAsia="仿宋_GB2312"/>
          <w:sz w:val="32"/>
          <w:szCs w:val="32"/>
        </w:rPr>
        <w:t>本级</w:t>
      </w:r>
      <w:r>
        <w:rPr>
          <w:rFonts w:ascii="仿宋_GB2312" w:eastAsia="仿宋_GB2312"/>
          <w:sz w:val="32"/>
          <w:szCs w:val="32"/>
        </w:rPr>
        <w:t>财政当年拨付的资金</w:t>
      </w:r>
      <w:r>
        <w:rPr>
          <w:rFonts w:hint="eastAsia" w:ascii="仿宋_GB2312" w:eastAsia="仿宋_GB2312"/>
          <w:sz w:val="32"/>
          <w:szCs w:val="32"/>
        </w:rPr>
        <w:t>，包括一般公共预算拨款收入和政府性基金预算拨款收入</w:t>
      </w:r>
      <w:r>
        <w:rPr>
          <w:rFonts w:ascii="仿宋_GB2312" w:eastAsia="仿宋_GB2312"/>
          <w:sz w:val="32"/>
          <w:szCs w:val="32"/>
        </w:rPr>
        <w:t>。</w:t>
      </w:r>
      <w:r>
        <w:rPr>
          <w:rFonts w:hint="eastAsia" w:ascii="仿宋_GB2312" w:eastAsia="仿宋_GB2312"/>
          <w:sz w:val="32"/>
          <w:szCs w:val="32"/>
        </w:rPr>
        <w:t>其中：一般公共预算拨款收入包括财政</w:t>
      </w:r>
      <w:r>
        <w:rPr>
          <w:rFonts w:hint="eastAsia" w:ascii="仿宋_GB2312" w:eastAsia="仿宋_GB2312"/>
          <w:sz w:val="32"/>
          <w:szCs w:val="32"/>
          <w:lang w:eastAsia="zh-CN"/>
        </w:rPr>
        <w:t>部门</w:t>
      </w:r>
      <w:r>
        <w:rPr>
          <w:rFonts w:hint="eastAsia" w:ascii="仿宋_GB2312" w:eastAsia="仿宋_GB2312"/>
          <w:sz w:val="32"/>
          <w:szCs w:val="32"/>
        </w:rPr>
        <w:t>经费拨款、专项收入、行政事业性收费收入、罚没收入、国有资源（资产）有偿使用收入和其他收入。</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二</w:t>
      </w:r>
      <w:r>
        <w:rPr>
          <w:rFonts w:hint="eastAsia" w:ascii="仿宋_GB2312" w:hAnsi="仿宋" w:eastAsia="仿宋_GB2312"/>
          <w:b/>
          <w:spacing w:val="-6"/>
          <w:sz w:val="32"/>
          <w:szCs w:val="32"/>
        </w:rPr>
        <w:t>）</w:t>
      </w:r>
      <w:r>
        <w:rPr>
          <w:rFonts w:ascii="仿宋_GB2312" w:hAnsi="仿宋" w:eastAsia="仿宋_GB2312"/>
          <w:b/>
          <w:spacing w:val="-6"/>
          <w:sz w:val="32"/>
          <w:szCs w:val="32"/>
        </w:rPr>
        <w:t>上年结转和结余：</w:t>
      </w:r>
      <w:r>
        <w:rPr>
          <w:rFonts w:ascii="仿宋_GB2312" w:eastAsia="仿宋_GB2312"/>
          <w:sz w:val="32"/>
          <w:szCs w:val="32"/>
        </w:rPr>
        <w:t>指以前年度支出预算因客观条件变化未执行完毕、结转到本年度按有关规定继续使用的资金，既包括财政拨款结转和结余，也包括事业收入、经营收入、其他收入的结转和结余。</w:t>
      </w:r>
    </w:p>
    <w:p>
      <w:pPr>
        <w:ind w:firstLine="640" w:firstLineChars="200"/>
        <w:rPr>
          <w:rFonts w:hint="eastAsia" w:ascii="宋体" w:hAnsi="宋体"/>
          <w:b/>
          <w:sz w:val="32"/>
          <w:szCs w:val="32"/>
        </w:rPr>
      </w:pPr>
      <w:r>
        <w:rPr>
          <w:rFonts w:hint="eastAsia" w:ascii="黑体" w:hAnsi="宋体" w:eastAsia="黑体"/>
          <w:color w:val="000000"/>
          <w:sz w:val="32"/>
          <w:szCs w:val="32"/>
        </w:rPr>
        <w:t>二、支出类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基本支出：</w:t>
      </w:r>
      <w:r>
        <w:rPr>
          <w:rFonts w:ascii="仿宋_GB2312" w:eastAsia="仿宋_GB2312"/>
          <w:sz w:val="32"/>
          <w:szCs w:val="32"/>
        </w:rPr>
        <w:t>指为保障机构正常运转、完成日常工作任务而发生的人员支出和公用支出。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项目支出：</w:t>
      </w:r>
      <w:r>
        <w:rPr>
          <w:rFonts w:ascii="仿宋_GB2312" w:eastAsia="仿宋_GB2312"/>
          <w:sz w:val="32"/>
          <w:szCs w:val="32"/>
        </w:rPr>
        <w:t>指在基本支出之外为完成特定行政任务和事业发展目标所发生的支出。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三</w:t>
      </w:r>
      <w:r>
        <w:rPr>
          <w:rFonts w:hint="eastAsia" w:ascii="仿宋_GB2312" w:hAnsi="仿宋" w:eastAsia="仿宋_GB2312"/>
          <w:b/>
          <w:spacing w:val="-6"/>
          <w:sz w:val="32"/>
          <w:szCs w:val="32"/>
        </w:rPr>
        <w:t>）一般公共预算</w:t>
      </w:r>
      <w:r>
        <w:rPr>
          <w:rFonts w:ascii="仿宋_GB2312" w:hAnsi="仿宋" w:eastAsia="仿宋_GB2312"/>
          <w:b/>
          <w:spacing w:val="-6"/>
          <w:sz w:val="32"/>
          <w:szCs w:val="32"/>
        </w:rPr>
        <w:t>“三公”经费支出：</w:t>
      </w:r>
      <w:r>
        <w:rPr>
          <w:rFonts w:ascii="仿宋_GB2312" w:eastAsia="仿宋_GB2312"/>
          <w:sz w:val="32"/>
          <w:szCs w:val="32"/>
        </w:rPr>
        <w:t>指</w:t>
      </w:r>
      <w:r>
        <w:rPr>
          <w:rFonts w:hint="eastAsia" w:ascii="仿宋_GB2312" w:eastAsia="仿宋_GB2312"/>
          <w:sz w:val="32"/>
          <w:szCs w:val="32"/>
        </w:rPr>
        <w:t>一般公共预算</w:t>
      </w:r>
      <w:r>
        <w:rPr>
          <w:rFonts w:ascii="仿宋_GB2312" w:eastAsia="仿宋_GB2312"/>
          <w:sz w:val="32"/>
          <w:szCs w:val="32"/>
        </w:rPr>
        <w:t>安排的因公出国（境）费、公务用车购置及运行费和公务接待费支出。其中，因公出国（境）费是指</w:t>
      </w:r>
      <w:r>
        <w:rPr>
          <w:rFonts w:hint="eastAsia" w:ascii="仿宋_GB2312" w:eastAsia="仿宋_GB2312"/>
          <w:sz w:val="32"/>
          <w:szCs w:val="32"/>
          <w:lang w:eastAsia="zh-CN"/>
        </w:rPr>
        <w:t>部门</w:t>
      </w:r>
      <w:r>
        <w:rPr>
          <w:rFonts w:ascii="仿宋_GB2312" w:eastAsia="仿宋_GB2312"/>
          <w:sz w:val="32"/>
          <w:szCs w:val="32"/>
        </w:rPr>
        <w:t>工作人员因公务出国（境）的往返机票费、住宿费、伙食费、培训费等支出；公务用车购置及运行费是指</w:t>
      </w:r>
      <w:r>
        <w:rPr>
          <w:rFonts w:hint="eastAsia" w:ascii="仿宋_GB2312" w:eastAsia="仿宋_GB2312"/>
          <w:sz w:val="32"/>
          <w:szCs w:val="32"/>
          <w:lang w:eastAsia="zh-CN"/>
        </w:rPr>
        <w:t>部门</w:t>
      </w:r>
      <w:r>
        <w:rPr>
          <w:rFonts w:ascii="仿宋_GB2312" w:eastAsia="仿宋_GB2312"/>
          <w:sz w:val="32"/>
          <w:szCs w:val="32"/>
        </w:rPr>
        <w:t>购置公务用车支出及公务用车使用过程中发生的租用费、燃料费、过路过桥费、保险费等支出；公务接待费支出是指</w:t>
      </w:r>
      <w:r>
        <w:rPr>
          <w:rFonts w:hint="eastAsia" w:ascii="仿宋_GB2312" w:eastAsia="仿宋_GB2312"/>
          <w:sz w:val="32"/>
          <w:szCs w:val="32"/>
          <w:lang w:eastAsia="zh-CN"/>
        </w:rPr>
        <w:t>部门</w:t>
      </w:r>
      <w:r>
        <w:rPr>
          <w:rFonts w:ascii="仿宋_GB2312" w:eastAsia="仿宋_GB2312"/>
          <w:sz w:val="32"/>
          <w:szCs w:val="32"/>
        </w:rPr>
        <w:t>按规定开支的各类公务接待（含外宾接待）支出。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四</w:t>
      </w:r>
      <w:r>
        <w:rPr>
          <w:rFonts w:hint="eastAsia" w:ascii="仿宋_GB2312" w:hAnsi="仿宋" w:eastAsia="仿宋_GB2312"/>
          <w:b/>
          <w:spacing w:val="-6"/>
          <w:sz w:val="32"/>
          <w:szCs w:val="32"/>
        </w:rPr>
        <w:t>）</w:t>
      </w:r>
      <w:r>
        <w:rPr>
          <w:rFonts w:ascii="仿宋_GB2312" w:hAnsi="仿宋" w:eastAsia="仿宋_GB2312"/>
          <w:b/>
          <w:spacing w:val="-6"/>
          <w:sz w:val="32"/>
          <w:szCs w:val="32"/>
        </w:rPr>
        <w:t>机关运行经费：</w:t>
      </w:r>
      <w:r>
        <w:rPr>
          <w:rFonts w:ascii="仿宋_GB2312" w:eastAsia="仿宋_GB2312"/>
          <w:sz w:val="32"/>
          <w:szCs w:val="32"/>
        </w:rPr>
        <w:t>为保障行政</w:t>
      </w:r>
      <w:r>
        <w:rPr>
          <w:rFonts w:hint="eastAsia" w:ascii="仿宋_GB2312" w:eastAsia="仿宋_GB2312"/>
          <w:sz w:val="32"/>
          <w:szCs w:val="32"/>
          <w:lang w:eastAsia="zh-CN"/>
        </w:rPr>
        <w:t>部门</w:t>
      </w:r>
      <w:r>
        <w:rPr>
          <w:rFonts w:ascii="仿宋_GB2312" w:eastAsia="仿宋_GB2312"/>
          <w:sz w:val="32"/>
          <w:szCs w:val="32"/>
        </w:rPr>
        <w:t>（含参照公务员法管理的事业</w:t>
      </w:r>
      <w:r>
        <w:rPr>
          <w:rFonts w:hint="eastAsia" w:ascii="仿宋_GB2312" w:eastAsia="仿宋_GB2312"/>
          <w:sz w:val="32"/>
          <w:szCs w:val="32"/>
          <w:lang w:eastAsia="zh-CN"/>
        </w:rPr>
        <w:t>部门</w:t>
      </w:r>
      <w:r>
        <w:rPr>
          <w:rFonts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三、支出科目类</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（一）社会保障和就业支出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行政事业单位养老支出</w:t>
      </w:r>
      <w:r>
        <w:rPr>
          <w:rFonts w:hint="eastAsia" w:ascii="仿宋_GB2312" w:eastAsia="仿宋_GB2312"/>
          <w:b/>
          <w:bCs/>
          <w:sz w:val="32"/>
          <w:szCs w:val="32"/>
        </w:rPr>
        <w:t>（款）</w:t>
      </w:r>
      <w:r>
        <w:rPr>
          <w:rFonts w:hint="eastAsia" w:ascii="仿宋_GB2312" w:eastAsia="仿宋_GB2312"/>
          <w:b/>
          <w:bCs/>
          <w:sz w:val="32"/>
          <w:szCs w:val="32"/>
          <w:lang w:val="en-US" w:eastAsia="zh-CN"/>
        </w:rPr>
        <w:t>机关事业单位基本养老保险缴费支出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反映机关事业单位实施养老保险制度由单位缴纳的基本养老保险费支出。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（二）社会保障和就业支出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行政事业单位养老支出</w:t>
      </w:r>
      <w:r>
        <w:rPr>
          <w:rFonts w:hint="eastAsia" w:ascii="仿宋_GB2312" w:eastAsia="仿宋_GB2312"/>
          <w:b/>
          <w:bCs/>
          <w:sz w:val="32"/>
          <w:szCs w:val="32"/>
        </w:rPr>
        <w:t>（款）</w:t>
      </w:r>
      <w:r>
        <w:rPr>
          <w:rFonts w:hint="eastAsia" w:ascii="仿宋_GB2312" w:eastAsia="仿宋_GB2312"/>
          <w:b/>
          <w:bCs/>
          <w:sz w:val="32"/>
          <w:szCs w:val="32"/>
          <w:lang w:val="en-US" w:eastAsia="zh-CN"/>
        </w:rPr>
        <w:t>机关事业单位职业年金缴费支出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反映机关事业单位实施养老保险制度由单位实际缴纳的职业年金支出。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（三）社会保障和就业支出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行政事业单位养老支出</w:t>
      </w:r>
      <w:r>
        <w:rPr>
          <w:rFonts w:hint="eastAsia" w:ascii="仿宋_GB2312" w:eastAsia="仿宋_GB2312"/>
          <w:b/>
          <w:bCs/>
          <w:sz w:val="32"/>
          <w:szCs w:val="32"/>
        </w:rPr>
        <w:t>（款）</w:t>
      </w:r>
      <w:r>
        <w:rPr>
          <w:rFonts w:hint="eastAsia" w:ascii="仿宋_GB2312" w:eastAsia="仿宋_GB2312"/>
          <w:b/>
          <w:bCs/>
          <w:sz w:val="32"/>
          <w:szCs w:val="32"/>
          <w:lang w:val="en-US" w:eastAsia="zh-CN"/>
        </w:rPr>
        <w:t>其他行政事业单位养老支出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反映除上述项目以外其他用于行政事业单位养老方面的支出。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（四）社会保障和就业支出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其他社会保障和就业支出</w:t>
      </w:r>
      <w:r>
        <w:rPr>
          <w:rFonts w:hint="eastAsia" w:ascii="仿宋_GB2312" w:eastAsia="仿宋_GB2312"/>
          <w:b/>
          <w:bCs/>
          <w:sz w:val="32"/>
          <w:szCs w:val="32"/>
        </w:rPr>
        <w:t>（款）</w:t>
      </w:r>
      <w:r>
        <w:rPr>
          <w:rFonts w:hint="eastAsia" w:ascii="仿宋_GB2312" w:eastAsia="仿宋_GB2312"/>
          <w:b/>
          <w:bCs/>
          <w:sz w:val="32"/>
          <w:szCs w:val="32"/>
          <w:lang w:val="en-US" w:eastAsia="zh-CN"/>
        </w:rPr>
        <w:t>其他社会保障和就业支出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反映除上述项目以外其他用于社会保障和就业方面的支出。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（五）卫生健康支出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行政事业单位医疗</w:t>
      </w:r>
      <w:r>
        <w:rPr>
          <w:rFonts w:hint="eastAsia" w:ascii="仿宋_GB2312" w:eastAsia="仿宋_GB2312"/>
          <w:b/>
          <w:bCs/>
          <w:sz w:val="32"/>
          <w:szCs w:val="32"/>
        </w:rPr>
        <w:t>（款）</w:t>
      </w:r>
      <w:r>
        <w:rPr>
          <w:rFonts w:hint="eastAsia" w:ascii="仿宋_GB2312" w:eastAsia="仿宋_GB2312"/>
          <w:b/>
          <w:bCs/>
          <w:sz w:val="32"/>
          <w:szCs w:val="32"/>
          <w:lang w:val="en-US" w:eastAsia="zh-CN"/>
        </w:rPr>
        <w:t>行政单位医疗</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反映财政部门安排的行政单位（包括实行公务员管理的事业单位，下同）基本医疗保险缴费经费、未参加医疗保险的行政单位的公费医疗经费，按国家规定享受离休人员、红军老战士待遇人员的医疗经费。</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（六）卫生健康支出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行政事业单位医疗</w:t>
      </w:r>
      <w:r>
        <w:rPr>
          <w:rFonts w:hint="eastAsia" w:ascii="仿宋_GB2312" w:eastAsia="仿宋_GB2312"/>
          <w:b/>
          <w:bCs/>
          <w:sz w:val="32"/>
          <w:szCs w:val="32"/>
        </w:rPr>
        <w:t>（款）</w:t>
      </w:r>
      <w:r>
        <w:rPr>
          <w:rFonts w:hint="eastAsia" w:ascii="仿宋_GB2312" w:eastAsia="仿宋_GB2312"/>
          <w:b/>
          <w:bCs/>
          <w:sz w:val="32"/>
          <w:szCs w:val="32"/>
          <w:lang w:val="en-US" w:eastAsia="zh-CN"/>
        </w:rPr>
        <w:t>事业单位医疗</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反映财政部门安排的事业单位基本医疗保险缴费经费，未参加医疗保险的事业单位的公费医疗经费，按国家规定享受离休人员待遇的医疗经费。</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（七）卫生健康支出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行政事业单位医疗</w:t>
      </w:r>
      <w:r>
        <w:rPr>
          <w:rFonts w:hint="eastAsia" w:ascii="仿宋_GB2312" w:eastAsia="仿宋_GB2312"/>
          <w:b/>
          <w:bCs/>
          <w:sz w:val="32"/>
          <w:szCs w:val="32"/>
        </w:rPr>
        <w:t>（款）</w:t>
      </w:r>
      <w:r>
        <w:rPr>
          <w:rFonts w:hint="eastAsia" w:ascii="仿宋_GB2312" w:eastAsia="仿宋_GB2312"/>
          <w:b/>
          <w:bCs/>
          <w:sz w:val="32"/>
          <w:szCs w:val="32"/>
          <w:lang w:val="en-US" w:eastAsia="zh-CN"/>
        </w:rPr>
        <w:t>公务员医疗补助</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反映财政部门安排的公务员医疗补助经费。</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（八）交通运输支出</w:t>
      </w:r>
      <w:r>
        <w:rPr>
          <w:rFonts w:hint="eastAsia" w:ascii="仿宋_GB2312" w:eastAsia="仿宋_GB2312"/>
          <w:b/>
          <w:bCs/>
          <w:sz w:val="32"/>
          <w:szCs w:val="32"/>
        </w:rPr>
        <w:t>（类）</w:t>
      </w:r>
      <w:r>
        <w:rPr>
          <w:rFonts w:hint="eastAsia" w:ascii="仿宋_GB2312" w:eastAsia="仿宋_GB2312"/>
          <w:b/>
          <w:bCs/>
          <w:sz w:val="32"/>
          <w:szCs w:val="32"/>
          <w:lang w:val="en-US" w:eastAsia="zh-CN"/>
        </w:rPr>
        <w:t>公路水路运输</w:t>
      </w:r>
      <w:r>
        <w:rPr>
          <w:rFonts w:hint="eastAsia" w:ascii="仿宋_GB2312" w:eastAsia="仿宋_GB2312"/>
          <w:b/>
          <w:bCs/>
          <w:sz w:val="32"/>
          <w:szCs w:val="32"/>
        </w:rPr>
        <w:t>（款）</w:t>
      </w:r>
      <w:r>
        <w:rPr>
          <w:rFonts w:hint="eastAsia" w:ascii="仿宋_GB2312" w:eastAsia="仿宋_GB2312"/>
          <w:b/>
          <w:bCs/>
          <w:sz w:val="32"/>
          <w:szCs w:val="32"/>
          <w:lang w:val="en-US" w:eastAsia="zh-CN"/>
        </w:rPr>
        <w:t>公路运输管理</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反映公路运输管理支出和公路路政管理支出。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（九）住房保障支出</w:t>
      </w:r>
      <w:r>
        <w:rPr>
          <w:rFonts w:hint="eastAsia" w:ascii="仿宋_GB2312" w:eastAsia="仿宋_GB2312"/>
          <w:b/>
          <w:bCs/>
          <w:sz w:val="32"/>
          <w:szCs w:val="32"/>
        </w:rPr>
        <w:t>（类）</w:t>
      </w:r>
      <w:r>
        <w:rPr>
          <w:rFonts w:hint="eastAsia" w:ascii="仿宋_GB2312" w:eastAsia="仿宋_GB2312"/>
          <w:b/>
          <w:bCs/>
          <w:sz w:val="32"/>
          <w:szCs w:val="32"/>
          <w:lang w:val="en-US" w:eastAsia="zh-CN"/>
        </w:rPr>
        <w:t>住房改革支出</w:t>
      </w:r>
      <w:r>
        <w:rPr>
          <w:rFonts w:hint="eastAsia" w:ascii="仿宋_GB2312" w:eastAsia="仿宋_GB2312"/>
          <w:b/>
          <w:bCs/>
          <w:sz w:val="32"/>
          <w:szCs w:val="32"/>
        </w:rPr>
        <w:t>（款）</w:t>
      </w:r>
      <w:r>
        <w:rPr>
          <w:rFonts w:hint="eastAsia" w:ascii="仿宋_GB2312" w:eastAsia="仿宋_GB2312"/>
          <w:b/>
          <w:bCs/>
          <w:sz w:val="32"/>
          <w:szCs w:val="32"/>
          <w:lang w:val="en-US" w:eastAsia="zh-CN"/>
        </w:rPr>
        <w:t>住房公积金</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w:t>
      </w:r>
      <w:r>
        <w:rPr>
          <w:rFonts w:hint="eastAsia" w:ascii="仿宋_GB2312" w:eastAsia="仿宋_GB2312"/>
          <w:sz w:val="32"/>
          <w:szCs w:val="32"/>
          <w:lang w:eastAsia="zh-CN"/>
        </w:rPr>
        <w:t>行政事业单位按人力资源和社会保障部、财政部规定的基本工资和津贴补贴以及规定比例为职工缴纳的住房公积金。</w:t>
      </w:r>
    </w:p>
    <w:p>
      <w:pPr>
        <w:ind w:firstLine="640" w:firstLineChars="200"/>
        <w:rPr>
          <w:rFonts w:hint="eastAsia"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部门</w:t>
      </w:r>
      <w:r>
        <w:rPr>
          <w:rFonts w:hint="eastAsia" w:ascii="黑体" w:hAnsi="黑体" w:eastAsia="黑体"/>
          <w:sz w:val="32"/>
          <w:szCs w:val="32"/>
        </w:rPr>
        <w:t>专业类名词</w:t>
      </w:r>
    </w:p>
    <w:p>
      <w:pPr>
        <w:adjustRightInd w:val="0"/>
        <w:snapToGrid w:val="0"/>
        <w:spacing w:line="560" w:lineRule="exact"/>
        <w:ind w:firstLine="640" w:firstLineChars="200"/>
        <w:rPr>
          <w:rFonts w:hint="eastAsia" w:eastAsia="宋体"/>
          <w:lang w:eastAsia="zh-CN"/>
        </w:rPr>
      </w:pPr>
      <w:r>
        <w:rPr>
          <w:rFonts w:hint="eastAsia" w:ascii="仿宋_GB2312" w:eastAsia="仿宋_GB2312"/>
          <w:sz w:val="32"/>
          <w:szCs w:val="32"/>
          <w:lang w:val="en-US" w:eastAsia="zh-CN"/>
        </w:rPr>
        <w:t>无。</w:t>
      </w:r>
    </w:p>
    <w:sectPr>
      <w:headerReference r:id="rId3" w:type="default"/>
      <w:footerReference r:id="rId4" w:type="default"/>
      <w:footerReference r:id="rId5" w:type="even"/>
      <w:pgSz w:w="11906" w:h="16838"/>
      <w:pgMar w:top="1440" w:right="1531" w:bottom="1440" w:left="1531" w:header="851" w:footer="992"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琥珀">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15</w:t>
    </w:r>
    <w:r>
      <w:rPr>
        <w:rStyle w:val="7"/>
      </w:rPr>
      <w:fldChar w:fldCharType="end"/>
    </w:r>
  </w:p>
  <w:p>
    <w:pPr>
      <w:pStyle w:val="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ZmMWZlNGVmMGI2N2NhZGZkNTA3MmM3YzBmNTYyOTMifQ=="/>
  </w:docVars>
  <w:rsids>
    <w:rsidRoot w:val="00172A27"/>
    <w:rsid w:val="0000475B"/>
    <w:rsid w:val="0001178F"/>
    <w:rsid w:val="00020FDD"/>
    <w:rsid w:val="000232E4"/>
    <w:rsid w:val="00034A5C"/>
    <w:rsid w:val="00050279"/>
    <w:rsid w:val="000531EE"/>
    <w:rsid w:val="00056B6D"/>
    <w:rsid w:val="000601C6"/>
    <w:rsid w:val="00060660"/>
    <w:rsid w:val="000678B4"/>
    <w:rsid w:val="00075346"/>
    <w:rsid w:val="00075ED2"/>
    <w:rsid w:val="000862D0"/>
    <w:rsid w:val="000903B1"/>
    <w:rsid w:val="00091929"/>
    <w:rsid w:val="000958EF"/>
    <w:rsid w:val="000A6FB4"/>
    <w:rsid w:val="000B15EB"/>
    <w:rsid w:val="000B287A"/>
    <w:rsid w:val="000B3761"/>
    <w:rsid w:val="000B4E89"/>
    <w:rsid w:val="000D4EDA"/>
    <w:rsid w:val="000F5134"/>
    <w:rsid w:val="000F7828"/>
    <w:rsid w:val="001003D0"/>
    <w:rsid w:val="00112781"/>
    <w:rsid w:val="00113D0A"/>
    <w:rsid w:val="00125BF5"/>
    <w:rsid w:val="00132BE0"/>
    <w:rsid w:val="00144223"/>
    <w:rsid w:val="00144744"/>
    <w:rsid w:val="00146FBE"/>
    <w:rsid w:val="00151EBE"/>
    <w:rsid w:val="001641F0"/>
    <w:rsid w:val="00177230"/>
    <w:rsid w:val="00180105"/>
    <w:rsid w:val="0018451E"/>
    <w:rsid w:val="00186851"/>
    <w:rsid w:val="0018696D"/>
    <w:rsid w:val="00186DAC"/>
    <w:rsid w:val="00191C8F"/>
    <w:rsid w:val="00193483"/>
    <w:rsid w:val="0019620F"/>
    <w:rsid w:val="001B37BE"/>
    <w:rsid w:val="001B4A45"/>
    <w:rsid w:val="001C6722"/>
    <w:rsid w:val="001C7303"/>
    <w:rsid w:val="001C73F8"/>
    <w:rsid w:val="001D6D61"/>
    <w:rsid w:val="001E2E28"/>
    <w:rsid w:val="001E773E"/>
    <w:rsid w:val="001F5F87"/>
    <w:rsid w:val="00201E43"/>
    <w:rsid w:val="0020515A"/>
    <w:rsid w:val="002058D7"/>
    <w:rsid w:val="00207A54"/>
    <w:rsid w:val="00213807"/>
    <w:rsid w:val="00214FF3"/>
    <w:rsid w:val="0021568D"/>
    <w:rsid w:val="002263BA"/>
    <w:rsid w:val="00230190"/>
    <w:rsid w:val="00234669"/>
    <w:rsid w:val="00254769"/>
    <w:rsid w:val="0026597C"/>
    <w:rsid w:val="00277A73"/>
    <w:rsid w:val="00293C3F"/>
    <w:rsid w:val="002958B2"/>
    <w:rsid w:val="002B0F3C"/>
    <w:rsid w:val="002B31B7"/>
    <w:rsid w:val="002B6859"/>
    <w:rsid w:val="002C3975"/>
    <w:rsid w:val="002D04E5"/>
    <w:rsid w:val="002D0C16"/>
    <w:rsid w:val="002E16BA"/>
    <w:rsid w:val="002E6F7E"/>
    <w:rsid w:val="002E7771"/>
    <w:rsid w:val="00305E36"/>
    <w:rsid w:val="00314180"/>
    <w:rsid w:val="00316542"/>
    <w:rsid w:val="00322615"/>
    <w:rsid w:val="00325F0E"/>
    <w:rsid w:val="00330E25"/>
    <w:rsid w:val="00332400"/>
    <w:rsid w:val="0033400D"/>
    <w:rsid w:val="00334D68"/>
    <w:rsid w:val="0033793A"/>
    <w:rsid w:val="003521E5"/>
    <w:rsid w:val="00355008"/>
    <w:rsid w:val="00356191"/>
    <w:rsid w:val="00356B67"/>
    <w:rsid w:val="003675C2"/>
    <w:rsid w:val="00371966"/>
    <w:rsid w:val="003769CA"/>
    <w:rsid w:val="00376E07"/>
    <w:rsid w:val="003775AF"/>
    <w:rsid w:val="00380BE9"/>
    <w:rsid w:val="00392EC4"/>
    <w:rsid w:val="0039578D"/>
    <w:rsid w:val="003A5B8D"/>
    <w:rsid w:val="003B6430"/>
    <w:rsid w:val="003C2061"/>
    <w:rsid w:val="003C228E"/>
    <w:rsid w:val="003E28DB"/>
    <w:rsid w:val="003E4830"/>
    <w:rsid w:val="004026AE"/>
    <w:rsid w:val="004041E1"/>
    <w:rsid w:val="00404221"/>
    <w:rsid w:val="00404CA1"/>
    <w:rsid w:val="00416149"/>
    <w:rsid w:val="00420E16"/>
    <w:rsid w:val="004274AA"/>
    <w:rsid w:val="004334EF"/>
    <w:rsid w:val="00434B50"/>
    <w:rsid w:val="00436A54"/>
    <w:rsid w:val="0044139F"/>
    <w:rsid w:val="00442BEB"/>
    <w:rsid w:val="0045037A"/>
    <w:rsid w:val="004611B8"/>
    <w:rsid w:val="00463BD1"/>
    <w:rsid w:val="00464A6E"/>
    <w:rsid w:val="004752F3"/>
    <w:rsid w:val="00475E3F"/>
    <w:rsid w:val="0047768B"/>
    <w:rsid w:val="004918ED"/>
    <w:rsid w:val="00493203"/>
    <w:rsid w:val="0049653A"/>
    <w:rsid w:val="0049694C"/>
    <w:rsid w:val="004A0F66"/>
    <w:rsid w:val="004B0FA1"/>
    <w:rsid w:val="004B146E"/>
    <w:rsid w:val="004C009B"/>
    <w:rsid w:val="004C08A2"/>
    <w:rsid w:val="004C43CC"/>
    <w:rsid w:val="004C7D6C"/>
    <w:rsid w:val="004D5ECB"/>
    <w:rsid w:val="004E1B91"/>
    <w:rsid w:val="004E2DDF"/>
    <w:rsid w:val="004E6982"/>
    <w:rsid w:val="004F03A5"/>
    <w:rsid w:val="004F2AFD"/>
    <w:rsid w:val="004F3B4F"/>
    <w:rsid w:val="004F3DD4"/>
    <w:rsid w:val="004F66D6"/>
    <w:rsid w:val="00503BAF"/>
    <w:rsid w:val="00503FEB"/>
    <w:rsid w:val="00513B9A"/>
    <w:rsid w:val="00517C9B"/>
    <w:rsid w:val="00517FDA"/>
    <w:rsid w:val="00525B6F"/>
    <w:rsid w:val="00527AA4"/>
    <w:rsid w:val="00530799"/>
    <w:rsid w:val="005342B6"/>
    <w:rsid w:val="00536678"/>
    <w:rsid w:val="00537A9E"/>
    <w:rsid w:val="00547194"/>
    <w:rsid w:val="00550008"/>
    <w:rsid w:val="005509A1"/>
    <w:rsid w:val="00562862"/>
    <w:rsid w:val="0057108E"/>
    <w:rsid w:val="00572779"/>
    <w:rsid w:val="0057653F"/>
    <w:rsid w:val="005A11E9"/>
    <w:rsid w:val="005A2203"/>
    <w:rsid w:val="005A4049"/>
    <w:rsid w:val="005A68F5"/>
    <w:rsid w:val="005B074E"/>
    <w:rsid w:val="005B0FB2"/>
    <w:rsid w:val="005B61F4"/>
    <w:rsid w:val="005B76EF"/>
    <w:rsid w:val="005C1EF4"/>
    <w:rsid w:val="005C559B"/>
    <w:rsid w:val="005D12B7"/>
    <w:rsid w:val="005D2972"/>
    <w:rsid w:val="005D7108"/>
    <w:rsid w:val="005E2A77"/>
    <w:rsid w:val="005E3778"/>
    <w:rsid w:val="005E56A1"/>
    <w:rsid w:val="005E6F27"/>
    <w:rsid w:val="005F0856"/>
    <w:rsid w:val="005F16C3"/>
    <w:rsid w:val="005F7090"/>
    <w:rsid w:val="0060661E"/>
    <w:rsid w:val="00614475"/>
    <w:rsid w:val="0062091A"/>
    <w:rsid w:val="00630E3B"/>
    <w:rsid w:val="006312D0"/>
    <w:rsid w:val="00633ED4"/>
    <w:rsid w:val="00634957"/>
    <w:rsid w:val="00646177"/>
    <w:rsid w:val="006463AE"/>
    <w:rsid w:val="00653101"/>
    <w:rsid w:val="006556AA"/>
    <w:rsid w:val="00655C5A"/>
    <w:rsid w:val="00656706"/>
    <w:rsid w:val="00667E1C"/>
    <w:rsid w:val="00675319"/>
    <w:rsid w:val="0067605E"/>
    <w:rsid w:val="00677281"/>
    <w:rsid w:val="006814D8"/>
    <w:rsid w:val="00684CA7"/>
    <w:rsid w:val="00692E98"/>
    <w:rsid w:val="006A11DF"/>
    <w:rsid w:val="006A355C"/>
    <w:rsid w:val="006B0FE3"/>
    <w:rsid w:val="006B1D44"/>
    <w:rsid w:val="006B1E98"/>
    <w:rsid w:val="006C0202"/>
    <w:rsid w:val="006C055C"/>
    <w:rsid w:val="006C24ED"/>
    <w:rsid w:val="006D7491"/>
    <w:rsid w:val="006E11D1"/>
    <w:rsid w:val="006E50DE"/>
    <w:rsid w:val="006E56EB"/>
    <w:rsid w:val="006F05C4"/>
    <w:rsid w:val="006F16EF"/>
    <w:rsid w:val="006F1867"/>
    <w:rsid w:val="006F1C6F"/>
    <w:rsid w:val="00701E77"/>
    <w:rsid w:val="007145EF"/>
    <w:rsid w:val="007148D1"/>
    <w:rsid w:val="007167D3"/>
    <w:rsid w:val="007211C6"/>
    <w:rsid w:val="00726882"/>
    <w:rsid w:val="0073408A"/>
    <w:rsid w:val="00736E69"/>
    <w:rsid w:val="00736F56"/>
    <w:rsid w:val="007611BA"/>
    <w:rsid w:val="0076222D"/>
    <w:rsid w:val="007655FE"/>
    <w:rsid w:val="007665F3"/>
    <w:rsid w:val="0077254F"/>
    <w:rsid w:val="007773DC"/>
    <w:rsid w:val="00790876"/>
    <w:rsid w:val="00791F22"/>
    <w:rsid w:val="007A792D"/>
    <w:rsid w:val="007B24DE"/>
    <w:rsid w:val="007B4ABF"/>
    <w:rsid w:val="007B7DEA"/>
    <w:rsid w:val="007C5144"/>
    <w:rsid w:val="007C690E"/>
    <w:rsid w:val="007C7455"/>
    <w:rsid w:val="007D0A0B"/>
    <w:rsid w:val="007E4D7A"/>
    <w:rsid w:val="007F2368"/>
    <w:rsid w:val="008121FA"/>
    <w:rsid w:val="00815231"/>
    <w:rsid w:val="00816CE6"/>
    <w:rsid w:val="0082187F"/>
    <w:rsid w:val="00825933"/>
    <w:rsid w:val="00826610"/>
    <w:rsid w:val="0083118F"/>
    <w:rsid w:val="00832434"/>
    <w:rsid w:val="00837FDC"/>
    <w:rsid w:val="00841C54"/>
    <w:rsid w:val="00842500"/>
    <w:rsid w:val="0084534E"/>
    <w:rsid w:val="0084546C"/>
    <w:rsid w:val="00845E67"/>
    <w:rsid w:val="00845E93"/>
    <w:rsid w:val="00846EB8"/>
    <w:rsid w:val="00852F59"/>
    <w:rsid w:val="00853DA0"/>
    <w:rsid w:val="008547E3"/>
    <w:rsid w:val="008662F1"/>
    <w:rsid w:val="00873236"/>
    <w:rsid w:val="00882036"/>
    <w:rsid w:val="00887592"/>
    <w:rsid w:val="00887EBE"/>
    <w:rsid w:val="008953DA"/>
    <w:rsid w:val="00895C88"/>
    <w:rsid w:val="008A467A"/>
    <w:rsid w:val="008A58CB"/>
    <w:rsid w:val="008B1F03"/>
    <w:rsid w:val="008D448E"/>
    <w:rsid w:val="008D7BD7"/>
    <w:rsid w:val="008E37D9"/>
    <w:rsid w:val="008E45E2"/>
    <w:rsid w:val="008F3EDB"/>
    <w:rsid w:val="008F672F"/>
    <w:rsid w:val="0091709E"/>
    <w:rsid w:val="009231FA"/>
    <w:rsid w:val="00960878"/>
    <w:rsid w:val="00965E5A"/>
    <w:rsid w:val="009672B9"/>
    <w:rsid w:val="00973495"/>
    <w:rsid w:val="009744F8"/>
    <w:rsid w:val="00976F94"/>
    <w:rsid w:val="00984314"/>
    <w:rsid w:val="0099261D"/>
    <w:rsid w:val="00995CF0"/>
    <w:rsid w:val="009A1C65"/>
    <w:rsid w:val="009A378F"/>
    <w:rsid w:val="009A3BF7"/>
    <w:rsid w:val="009A58C4"/>
    <w:rsid w:val="009B0B9C"/>
    <w:rsid w:val="009B48F9"/>
    <w:rsid w:val="009C3079"/>
    <w:rsid w:val="009D4037"/>
    <w:rsid w:val="009D43CC"/>
    <w:rsid w:val="009E1CDE"/>
    <w:rsid w:val="00A04DA6"/>
    <w:rsid w:val="00A066FE"/>
    <w:rsid w:val="00A1550A"/>
    <w:rsid w:val="00A158CA"/>
    <w:rsid w:val="00A21B40"/>
    <w:rsid w:val="00A27447"/>
    <w:rsid w:val="00A311A6"/>
    <w:rsid w:val="00A364B9"/>
    <w:rsid w:val="00A450BF"/>
    <w:rsid w:val="00A63467"/>
    <w:rsid w:val="00A641F5"/>
    <w:rsid w:val="00A67367"/>
    <w:rsid w:val="00A73FE8"/>
    <w:rsid w:val="00A77B20"/>
    <w:rsid w:val="00A8045D"/>
    <w:rsid w:val="00A82926"/>
    <w:rsid w:val="00A87B44"/>
    <w:rsid w:val="00A9549F"/>
    <w:rsid w:val="00A97708"/>
    <w:rsid w:val="00AA4928"/>
    <w:rsid w:val="00AA5507"/>
    <w:rsid w:val="00AA7A03"/>
    <w:rsid w:val="00AB7F89"/>
    <w:rsid w:val="00AF4763"/>
    <w:rsid w:val="00AF6FD5"/>
    <w:rsid w:val="00B134C1"/>
    <w:rsid w:val="00B23E9E"/>
    <w:rsid w:val="00B300D9"/>
    <w:rsid w:val="00B33B3C"/>
    <w:rsid w:val="00B40962"/>
    <w:rsid w:val="00B537DA"/>
    <w:rsid w:val="00B62CC7"/>
    <w:rsid w:val="00B6771D"/>
    <w:rsid w:val="00B741D4"/>
    <w:rsid w:val="00B91070"/>
    <w:rsid w:val="00B95D32"/>
    <w:rsid w:val="00BA0232"/>
    <w:rsid w:val="00BA5A93"/>
    <w:rsid w:val="00BA68DC"/>
    <w:rsid w:val="00BB4FF9"/>
    <w:rsid w:val="00BB5101"/>
    <w:rsid w:val="00BB7C31"/>
    <w:rsid w:val="00BD136D"/>
    <w:rsid w:val="00BD2217"/>
    <w:rsid w:val="00BD413D"/>
    <w:rsid w:val="00BE021C"/>
    <w:rsid w:val="00BE2E74"/>
    <w:rsid w:val="00BE484D"/>
    <w:rsid w:val="00BE487B"/>
    <w:rsid w:val="00BF1555"/>
    <w:rsid w:val="00BF490E"/>
    <w:rsid w:val="00C003E4"/>
    <w:rsid w:val="00C01E9E"/>
    <w:rsid w:val="00C108B9"/>
    <w:rsid w:val="00C20681"/>
    <w:rsid w:val="00C27396"/>
    <w:rsid w:val="00C40C54"/>
    <w:rsid w:val="00C41441"/>
    <w:rsid w:val="00C45FA4"/>
    <w:rsid w:val="00C4784F"/>
    <w:rsid w:val="00C63D0A"/>
    <w:rsid w:val="00C677B9"/>
    <w:rsid w:val="00C73288"/>
    <w:rsid w:val="00C747EB"/>
    <w:rsid w:val="00C7794A"/>
    <w:rsid w:val="00C8430A"/>
    <w:rsid w:val="00C902BE"/>
    <w:rsid w:val="00C902D0"/>
    <w:rsid w:val="00C97EB7"/>
    <w:rsid w:val="00CA76DF"/>
    <w:rsid w:val="00CB0C4F"/>
    <w:rsid w:val="00CB147C"/>
    <w:rsid w:val="00CB15F7"/>
    <w:rsid w:val="00CB4B9E"/>
    <w:rsid w:val="00CD2E64"/>
    <w:rsid w:val="00CD2EC8"/>
    <w:rsid w:val="00CE5CA7"/>
    <w:rsid w:val="00CE7C0B"/>
    <w:rsid w:val="00CF5B34"/>
    <w:rsid w:val="00CF7C55"/>
    <w:rsid w:val="00D04E62"/>
    <w:rsid w:val="00D07693"/>
    <w:rsid w:val="00D1473B"/>
    <w:rsid w:val="00D15776"/>
    <w:rsid w:val="00D161D6"/>
    <w:rsid w:val="00D22E19"/>
    <w:rsid w:val="00D25D6A"/>
    <w:rsid w:val="00D31757"/>
    <w:rsid w:val="00D50B54"/>
    <w:rsid w:val="00D50CD1"/>
    <w:rsid w:val="00D52327"/>
    <w:rsid w:val="00D6057F"/>
    <w:rsid w:val="00D661E2"/>
    <w:rsid w:val="00D733F5"/>
    <w:rsid w:val="00D77042"/>
    <w:rsid w:val="00D835F3"/>
    <w:rsid w:val="00D83634"/>
    <w:rsid w:val="00D9095F"/>
    <w:rsid w:val="00D91B06"/>
    <w:rsid w:val="00D959F2"/>
    <w:rsid w:val="00D97379"/>
    <w:rsid w:val="00DA5DD9"/>
    <w:rsid w:val="00DD6C5E"/>
    <w:rsid w:val="00DE211D"/>
    <w:rsid w:val="00DE6A70"/>
    <w:rsid w:val="00DF6067"/>
    <w:rsid w:val="00E01F58"/>
    <w:rsid w:val="00E06DE1"/>
    <w:rsid w:val="00E14CE9"/>
    <w:rsid w:val="00E20606"/>
    <w:rsid w:val="00E23362"/>
    <w:rsid w:val="00E26500"/>
    <w:rsid w:val="00E36568"/>
    <w:rsid w:val="00E4076A"/>
    <w:rsid w:val="00E43968"/>
    <w:rsid w:val="00E50770"/>
    <w:rsid w:val="00E50E50"/>
    <w:rsid w:val="00E532A9"/>
    <w:rsid w:val="00E629B5"/>
    <w:rsid w:val="00E62BB2"/>
    <w:rsid w:val="00E6361C"/>
    <w:rsid w:val="00E65D63"/>
    <w:rsid w:val="00E66709"/>
    <w:rsid w:val="00E73129"/>
    <w:rsid w:val="00E77312"/>
    <w:rsid w:val="00E80B18"/>
    <w:rsid w:val="00E812D1"/>
    <w:rsid w:val="00E8331F"/>
    <w:rsid w:val="00E9134E"/>
    <w:rsid w:val="00EA16D8"/>
    <w:rsid w:val="00EA1CBE"/>
    <w:rsid w:val="00EA23FA"/>
    <w:rsid w:val="00EA4084"/>
    <w:rsid w:val="00EA7621"/>
    <w:rsid w:val="00EB57B8"/>
    <w:rsid w:val="00EB791F"/>
    <w:rsid w:val="00EB7FA0"/>
    <w:rsid w:val="00ED5B0F"/>
    <w:rsid w:val="00EE73D4"/>
    <w:rsid w:val="00EF04D0"/>
    <w:rsid w:val="00EF1BD9"/>
    <w:rsid w:val="00EF4B98"/>
    <w:rsid w:val="00F02DC6"/>
    <w:rsid w:val="00F07AA5"/>
    <w:rsid w:val="00F07F8F"/>
    <w:rsid w:val="00F11C0E"/>
    <w:rsid w:val="00F16635"/>
    <w:rsid w:val="00F17BBD"/>
    <w:rsid w:val="00F2177F"/>
    <w:rsid w:val="00F25E2D"/>
    <w:rsid w:val="00F3746A"/>
    <w:rsid w:val="00F44808"/>
    <w:rsid w:val="00F46763"/>
    <w:rsid w:val="00F46AF7"/>
    <w:rsid w:val="00F52EE2"/>
    <w:rsid w:val="00F54ADE"/>
    <w:rsid w:val="00F56A95"/>
    <w:rsid w:val="00F64B26"/>
    <w:rsid w:val="00F76BED"/>
    <w:rsid w:val="00F87845"/>
    <w:rsid w:val="00F9174E"/>
    <w:rsid w:val="00FA3291"/>
    <w:rsid w:val="00FA4110"/>
    <w:rsid w:val="00FA6800"/>
    <w:rsid w:val="00FA6DC5"/>
    <w:rsid w:val="00FA7B94"/>
    <w:rsid w:val="00FB31B3"/>
    <w:rsid w:val="00FB3587"/>
    <w:rsid w:val="00FB7581"/>
    <w:rsid w:val="00FD1EAD"/>
    <w:rsid w:val="00FD29F3"/>
    <w:rsid w:val="00FE419E"/>
    <w:rsid w:val="00FF2014"/>
    <w:rsid w:val="00FF6DA0"/>
    <w:rsid w:val="00FF75F4"/>
    <w:rsid w:val="012A1FD4"/>
    <w:rsid w:val="01362E30"/>
    <w:rsid w:val="017D4F5C"/>
    <w:rsid w:val="018D0F17"/>
    <w:rsid w:val="019B2BEF"/>
    <w:rsid w:val="019B53E2"/>
    <w:rsid w:val="01DA23AF"/>
    <w:rsid w:val="02021905"/>
    <w:rsid w:val="026C5C30"/>
    <w:rsid w:val="02AE7397"/>
    <w:rsid w:val="03174F3D"/>
    <w:rsid w:val="033D21D3"/>
    <w:rsid w:val="033F3750"/>
    <w:rsid w:val="03561F09"/>
    <w:rsid w:val="03596737"/>
    <w:rsid w:val="039D18E6"/>
    <w:rsid w:val="03BA365B"/>
    <w:rsid w:val="03BB1D6C"/>
    <w:rsid w:val="03F67248"/>
    <w:rsid w:val="04024FAD"/>
    <w:rsid w:val="041D688F"/>
    <w:rsid w:val="0430275A"/>
    <w:rsid w:val="043C2D23"/>
    <w:rsid w:val="044E0E32"/>
    <w:rsid w:val="04812FB5"/>
    <w:rsid w:val="0486237A"/>
    <w:rsid w:val="048E7480"/>
    <w:rsid w:val="04920E1D"/>
    <w:rsid w:val="04BD38C2"/>
    <w:rsid w:val="04DD4B94"/>
    <w:rsid w:val="04DF7CDC"/>
    <w:rsid w:val="051200B1"/>
    <w:rsid w:val="051931EE"/>
    <w:rsid w:val="05222FB6"/>
    <w:rsid w:val="052A53FB"/>
    <w:rsid w:val="053E0EA6"/>
    <w:rsid w:val="055C132D"/>
    <w:rsid w:val="056F1060"/>
    <w:rsid w:val="0571302A"/>
    <w:rsid w:val="05740424"/>
    <w:rsid w:val="059C06AB"/>
    <w:rsid w:val="05A341D2"/>
    <w:rsid w:val="05C018BB"/>
    <w:rsid w:val="05C220DB"/>
    <w:rsid w:val="05C263D6"/>
    <w:rsid w:val="05CC0260"/>
    <w:rsid w:val="05E01F5E"/>
    <w:rsid w:val="05F81055"/>
    <w:rsid w:val="0612484F"/>
    <w:rsid w:val="06135E8F"/>
    <w:rsid w:val="061A5470"/>
    <w:rsid w:val="062956B3"/>
    <w:rsid w:val="064A5629"/>
    <w:rsid w:val="069A0522"/>
    <w:rsid w:val="06DB44D3"/>
    <w:rsid w:val="06E710CA"/>
    <w:rsid w:val="06EE3BED"/>
    <w:rsid w:val="06FC2DC7"/>
    <w:rsid w:val="07170AD3"/>
    <w:rsid w:val="073360BD"/>
    <w:rsid w:val="073C1416"/>
    <w:rsid w:val="07550B8D"/>
    <w:rsid w:val="075E75DE"/>
    <w:rsid w:val="07645B4A"/>
    <w:rsid w:val="076860A8"/>
    <w:rsid w:val="076D7821"/>
    <w:rsid w:val="079052BE"/>
    <w:rsid w:val="07A62D33"/>
    <w:rsid w:val="07A733F6"/>
    <w:rsid w:val="07C82CA9"/>
    <w:rsid w:val="07CD206E"/>
    <w:rsid w:val="07E35D35"/>
    <w:rsid w:val="08163548"/>
    <w:rsid w:val="08391ED2"/>
    <w:rsid w:val="089716ED"/>
    <w:rsid w:val="08CC2655"/>
    <w:rsid w:val="09151112"/>
    <w:rsid w:val="091B52F7"/>
    <w:rsid w:val="091C13C7"/>
    <w:rsid w:val="092B4317"/>
    <w:rsid w:val="093A7BD7"/>
    <w:rsid w:val="093B4BC3"/>
    <w:rsid w:val="094232FC"/>
    <w:rsid w:val="094620D8"/>
    <w:rsid w:val="099A2423"/>
    <w:rsid w:val="099E1F14"/>
    <w:rsid w:val="09A34935"/>
    <w:rsid w:val="09B62700"/>
    <w:rsid w:val="0A033A90"/>
    <w:rsid w:val="0A2520A2"/>
    <w:rsid w:val="0A3F79A3"/>
    <w:rsid w:val="0A59408D"/>
    <w:rsid w:val="0AE75B3C"/>
    <w:rsid w:val="0AE95411"/>
    <w:rsid w:val="0AF344E1"/>
    <w:rsid w:val="0AFD2C6A"/>
    <w:rsid w:val="0AFD318D"/>
    <w:rsid w:val="0B4D31B0"/>
    <w:rsid w:val="0B9335CE"/>
    <w:rsid w:val="0BBF43C3"/>
    <w:rsid w:val="0BE718B9"/>
    <w:rsid w:val="0C1666D9"/>
    <w:rsid w:val="0C33338D"/>
    <w:rsid w:val="0C3837AD"/>
    <w:rsid w:val="0C461B4F"/>
    <w:rsid w:val="0CB620EA"/>
    <w:rsid w:val="0CBF274A"/>
    <w:rsid w:val="0CE83E39"/>
    <w:rsid w:val="0D10137A"/>
    <w:rsid w:val="0D103128"/>
    <w:rsid w:val="0D190642"/>
    <w:rsid w:val="0D1F15BD"/>
    <w:rsid w:val="0D347D03"/>
    <w:rsid w:val="0D4C7ED9"/>
    <w:rsid w:val="0E193301"/>
    <w:rsid w:val="0E2447F1"/>
    <w:rsid w:val="0EB9334C"/>
    <w:rsid w:val="0EE02A09"/>
    <w:rsid w:val="0EF30338"/>
    <w:rsid w:val="0EF820C6"/>
    <w:rsid w:val="0F0C3167"/>
    <w:rsid w:val="0F1B23BF"/>
    <w:rsid w:val="0F4E7F7D"/>
    <w:rsid w:val="0F5D63CD"/>
    <w:rsid w:val="0F9D0EBF"/>
    <w:rsid w:val="0FBC2FF0"/>
    <w:rsid w:val="0FDF10D4"/>
    <w:rsid w:val="0FEB5787"/>
    <w:rsid w:val="107734BE"/>
    <w:rsid w:val="107C6D27"/>
    <w:rsid w:val="10915F18"/>
    <w:rsid w:val="10A51DDA"/>
    <w:rsid w:val="10C45336"/>
    <w:rsid w:val="10CA42ED"/>
    <w:rsid w:val="10D26947"/>
    <w:rsid w:val="10D60A11"/>
    <w:rsid w:val="10D91A83"/>
    <w:rsid w:val="10F20D97"/>
    <w:rsid w:val="111C6472"/>
    <w:rsid w:val="11276C93"/>
    <w:rsid w:val="11963E18"/>
    <w:rsid w:val="11B06C88"/>
    <w:rsid w:val="11FC011F"/>
    <w:rsid w:val="12402145"/>
    <w:rsid w:val="12525F91"/>
    <w:rsid w:val="126B2BAF"/>
    <w:rsid w:val="12AD31C8"/>
    <w:rsid w:val="12B46304"/>
    <w:rsid w:val="12F232D0"/>
    <w:rsid w:val="132D60B6"/>
    <w:rsid w:val="13315BA7"/>
    <w:rsid w:val="13675B6C"/>
    <w:rsid w:val="13815343"/>
    <w:rsid w:val="138A3509"/>
    <w:rsid w:val="13936AB9"/>
    <w:rsid w:val="13983E78"/>
    <w:rsid w:val="13A10F83"/>
    <w:rsid w:val="13AB531F"/>
    <w:rsid w:val="13AF2F6F"/>
    <w:rsid w:val="14264FE0"/>
    <w:rsid w:val="142B6A9A"/>
    <w:rsid w:val="14357918"/>
    <w:rsid w:val="145C4EA5"/>
    <w:rsid w:val="14717BEF"/>
    <w:rsid w:val="14A405FA"/>
    <w:rsid w:val="14B52807"/>
    <w:rsid w:val="14C10AEB"/>
    <w:rsid w:val="14D25941"/>
    <w:rsid w:val="14E76E65"/>
    <w:rsid w:val="15010839"/>
    <w:rsid w:val="15080666"/>
    <w:rsid w:val="1509227B"/>
    <w:rsid w:val="15145780"/>
    <w:rsid w:val="156F29B6"/>
    <w:rsid w:val="159266A5"/>
    <w:rsid w:val="15B773A6"/>
    <w:rsid w:val="15CF16A7"/>
    <w:rsid w:val="15D346A7"/>
    <w:rsid w:val="15EA028F"/>
    <w:rsid w:val="16041DC2"/>
    <w:rsid w:val="160937DE"/>
    <w:rsid w:val="16A058AD"/>
    <w:rsid w:val="16BF796D"/>
    <w:rsid w:val="17397720"/>
    <w:rsid w:val="17711442"/>
    <w:rsid w:val="178D1819"/>
    <w:rsid w:val="179E54C0"/>
    <w:rsid w:val="17C84600"/>
    <w:rsid w:val="17F65611"/>
    <w:rsid w:val="17F71F10"/>
    <w:rsid w:val="182038E0"/>
    <w:rsid w:val="18497B86"/>
    <w:rsid w:val="185540E5"/>
    <w:rsid w:val="18602A8A"/>
    <w:rsid w:val="189D783A"/>
    <w:rsid w:val="18A312F5"/>
    <w:rsid w:val="18D019BE"/>
    <w:rsid w:val="18DF60A5"/>
    <w:rsid w:val="18DF798A"/>
    <w:rsid w:val="18F30F3D"/>
    <w:rsid w:val="18F57676"/>
    <w:rsid w:val="190D2C12"/>
    <w:rsid w:val="19143CAF"/>
    <w:rsid w:val="191E61EF"/>
    <w:rsid w:val="191F64A1"/>
    <w:rsid w:val="19755131"/>
    <w:rsid w:val="19834C82"/>
    <w:rsid w:val="19AC41D9"/>
    <w:rsid w:val="19B968F6"/>
    <w:rsid w:val="19CC487B"/>
    <w:rsid w:val="19FF1621"/>
    <w:rsid w:val="1A165AF6"/>
    <w:rsid w:val="1A591713"/>
    <w:rsid w:val="1A915957"/>
    <w:rsid w:val="1A951111"/>
    <w:rsid w:val="1A9C424D"/>
    <w:rsid w:val="1AA71539"/>
    <w:rsid w:val="1AC35C7E"/>
    <w:rsid w:val="1AC47317"/>
    <w:rsid w:val="1AEF2288"/>
    <w:rsid w:val="1B0F2F7A"/>
    <w:rsid w:val="1B1C0ED8"/>
    <w:rsid w:val="1B2A0D10"/>
    <w:rsid w:val="1B387E5A"/>
    <w:rsid w:val="1B8448F8"/>
    <w:rsid w:val="1BB67591"/>
    <w:rsid w:val="1BD3623E"/>
    <w:rsid w:val="1BE539D2"/>
    <w:rsid w:val="1BF15446"/>
    <w:rsid w:val="1C2D0D45"/>
    <w:rsid w:val="1C76487C"/>
    <w:rsid w:val="1C784475"/>
    <w:rsid w:val="1CDA7AC0"/>
    <w:rsid w:val="1CDC4DD5"/>
    <w:rsid w:val="1CDD0B4D"/>
    <w:rsid w:val="1CF7709A"/>
    <w:rsid w:val="1D2624F4"/>
    <w:rsid w:val="1D47530C"/>
    <w:rsid w:val="1D57445C"/>
    <w:rsid w:val="1D714363"/>
    <w:rsid w:val="1D752B34"/>
    <w:rsid w:val="1D9643E8"/>
    <w:rsid w:val="1DA67191"/>
    <w:rsid w:val="1DCC31FE"/>
    <w:rsid w:val="1DF83E91"/>
    <w:rsid w:val="1E2A152E"/>
    <w:rsid w:val="1E320A25"/>
    <w:rsid w:val="1E366767"/>
    <w:rsid w:val="1E4075E6"/>
    <w:rsid w:val="1E5D33B2"/>
    <w:rsid w:val="1E8C45D9"/>
    <w:rsid w:val="1ECF44C6"/>
    <w:rsid w:val="1ED57D2E"/>
    <w:rsid w:val="1EE6018D"/>
    <w:rsid w:val="1EE937D9"/>
    <w:rsid w:val="1F57E50F"/>
    <w:rsid w:val="1F585875"/>
    <w:rsid w:val="1F6248B1"/>
    <w:rsid w:val="1F7532BF"/>
    <w:rsid w:val="1F7C464D"/>
    <w:rsid w:val="1FBE4C66"/>
    <w:rsid w:val="1FC63B1B"/>
    <w:rsid w:val="1FE76146"/>
    <w:rsid w:val="200D34F7"/>
    <w:rsid w:val="206E3DD0"/>
    <w:rsid w:val="20846DB3"/>
    <w:rsid w:val="20A06C94"/>
    <w:rsid w:val="20A26336"/>
    <w:rsid w:val="20D2147C"/>
    <w:rsid w:val="20E920EF"/>
    <w:rsid w:val="20EA55E7"/>
    <w:rsid w:val="210261A6"/>
    <w:rsid w:val="210A7A37"/>
    <w:rsid w:val="21156B08"/>
    <w:rsid w:val="21785657"/>
    <w:rsid w:val="218E0668"/>
    <w:rsid w:val="21D73DBD"/>
    <w:rsid w:val="222F3918"/>
    <w:rsid w:val="22A7378F"/>
    <w:rsid w:val="22CA56D0"/>
    <w:rsid w:val="22EE7610"/>
    <w:rsid w:val="23020B9B"/>
    <w:rsid w:val="23563407"/>
    <w:rsid w:val="2369043B"/>
    <w:rsid w:val="23D83E1C"/>
    <w:rsid w:val="23F171DD"/>
    <w:rsid w:val="24013373"/>
    <w:rsid w:val="241035B6"/>
    <w:rsid w:val="24173588"/>
    <w:rsid w:val="248400FD"/>
    <w:rsid w:val="24BB5C18"/>
    <w:rsid w:val="24D52712"/>
    <w:rsid w:val="24F744DF"/>
    <w:rsid w:val="250255F5"/>
    <w:rsid w:val="2504136D"/>
    <w:rsid w:val="25216B98"/>
    <w:rsid w:val="2522492D"/>
    <w:rsid w:val="25347FF8"/>
    <w:rsid w:val="255B3E43"/>
    <w:rsid w:val="25627E42"/>
    <w:rsid w:val="25AE3087"/>
    <w:rsid w:val="25B20DC9"/>
    <w:rsid w:val="25DE2FF9"/>
    <w:rsid w:val="25EE5B79"/>
    <w:rsid w:val="25F90E12"/>
    <w:rsid w:val="260B672B"/>
    <w:rsid w:val="2628108B"/>
    <w:rsid w:val="26A56376"/>
    <w:rsid w:val="26B75F6B"/>
    <w:rsid w:val="26C1503C"/>
    <w:rsid w:val="26E86A6C"/>
    <w:rsid w:val="26F20826"/>
    <w:rsid w:val="27010436"/>
    <w:rsid w:val="271635D9"/>
    <w:rsid w:val="273B3040"/>
    <w:rsid w:val="27684462"/>
    <w:rsid w:val="276A2196"/>
    <w:rsid w:val="27716A62"/>
    <w:rsid w:val="278A3680"/>
    <w:rsid w:val="2791259C"/>
    <w:rsid w:val="279369D8"/>
    <w:rsid w:val="27982240"/>
    <w:rsid w:val="27AC7A9A"/>
    <w:rsid w:val="27B626C7"/>
    <w:rsid w:val="27D36DD5"/>
    <w:rsid w:val="27DF39CB"/>
    <w:rsid w:val="27DF3EE1"/>
    <w:rsid w:val="280D0539"/>
    <w:rsid w:val="28123DA1"/>
    <w:rsid w:val="28520659"/>
    <w:rsid w:val="286A598B"/>
    <w:rsid w:val="287A36F4"/>
    <w:rsid w:val="28920A3E"/>
    <w:rsid w:val="28A8476E"/>
    <w:rsid w:val="28A91FB1"/>
    <w:rsid w:val="28D86FE0"/>
    <w:rsid w:val="28EB0DF4"/>
    <w:rsid w:val="28EC45F2"/>
    <w:rsid w:val="290B498A"/>
    <w:rsid w:val="291762C3"/>
    <w:rsid w:val="29422464"/>
    <w:rsid w:val="299965AB"/>
    <w:rsid w:val="29CB06AB"/>
    <w:rsid w:val="29DC2957"/>
    <w:rsid w:val="2A9D2EAF"/>
    <w:rsid w:val="2ADF44BC"/>
    <w:rsid w:val="2B24409F"/>
    <w:rsid w:val="2B3D7387"/>
    <w:rsid w:val="2B467F3F"/>
    <w:rsid w:val="2B681F2A"/>
    <w:rsid w:val="2BA411B4"/>
    <w:rsid w:val="2BA84A00"/>
    <w:rsid w:val="2BAA0794"/>
    <w:rsid w:val="2BAF1907"/>
    <w:rsid w:val="2BBE7D9C"/>
    <w:rsid w:val="2BD2547C"/>
    <w:rsid w:val="2C165AE7"/>
    <w:rsid w:val="2C4633EA"/>
    <w:rsid w:val="2C862667"/>
    <w:rsid w:val="2C9F2793"/>
    <w:rsid w:val="2CB82A3D"/>
    <w:rsid w:val="2CC80ED2"/>
    <w:rsid w:val="2CD812B0"/>
    <w:rsid w:val="2D0A3299"/>
    <w:rsid w:val="2D142369"/>
    <w:rsid w:val="2D1660E1"/>
    <w:rsid w:val="2D4F33A1"/>
    <w:rsid w:val="2D5F7AEE"/>
    <w:rsid w:val="2D7C1CBC"/>
    <w:rsid w:val="2D9C6C0D"/>
    <w:rsid w:val="2DCE076A"/>
    <w:rsid w:val="2DF61A6F"/>
    <w:rsid w:val="2E0E7081"/>
    <w:rsid w:val="2E2A34C6"/>
    <w:rsid w:val="2E5D1AEE"/>
    <w:rsid w:val="2E7E2FE0"/>
    <w:rsid w:val="2EA944D2"/>
    <w:rsid w:val="2EBF2578"/>
    <w:rsid w:val="2EF35057"/>
    <w:rsid w:val="2F0A0548"/>
    <w:rsid w:val="2F0B32F8"/>
    <w:rsid w:val="2F511653"/>
    <w:rsid w:val="2F5C639F"/>
    <w:rsid w:val="2F666780"/>
    <w:rsid w:val="2FB13EB5"/>
    <w:rsid w:val="2FE029D7"/>
    <w:rsid w:val="30074904"/>
    <w:rsid w:val="300A1801"/>
    <w:rsid w:val="300E30A0"/>
    <w:rsid w:val="30A92DC8"/>
    <w:rsid w:val="30B15BC1"/>
    <w:rsid w:val="30E47124"/>
    <w:rsid w:val="3119625B"/>
    <w:rsid w:val="31524179"/>
    <w:rsid w:val="31741628"/>
    <w:rsid w:val="317E4255"/>
    <w:rsid w:val="318B6972"/>
    <w:rsid w:val="319121DA"/>
    <w:rsid w:val="31A041CB"/>
    <w:rsid w:val="31D16A7B"/>
    <w:rsid w:val="31EF0CAF"/>
    <w:rsid w:val="32035783"/>
    <w:rsid w:val="32186458"/>
    <w:rsid w:val="322A7F39"/>
    <w:rsid w:val="324D69E2"/>
    <w:rsid w:val="32625925"/>
    <w:rsid w:val="32966AE3"/>
    <w:rsid w:val="33223F5B"/>
    <w:rsid w:val="333C1DAF"/>
    <w:rsid w:val="33420075"/>
    <w:rsid w:val="33705886"/>
    <w:rsid w:val="337E22EA"/>
    <w:rsid w:val="33A4500D"/>
    <w:rsid w:val="33F15215"/>
    <w:rsid w:val="341669C7"/>
    <w:rsid w:val="34221BAB"/>
    <w:rsid w:val="342310E4"/>
    <w:rsid w:val="342804A8"/>
    <w:rsid w:val="34574ACF"/>
    <w:rsid w:val="34666500"/>
    <w:rsid w:val="3485379F"/>
    <w:rsid w:val="349C5FC1"/>
    <w:rsid w:val="34C05684"/>
    <w:rsid w:val="34C839CB"/>
    <w:rsid w:val="35301D0A"/>
    <w:rsid w:val="354E7C5B"/>
    <w:rsid w:val="35915BC6"/>
    <w:rsid w:val="359D0A43"/>
    <w:rsid w:val="35B446E9"/>
    <w:rsid w:val="35BC17F0"/>
    <w:rsid w:val="35F25212"/>
    <w:rsid w:val="36116DAA"/>
    <w:rsid w:val="363C540D"/>
    <w:rsid w:val="36416515"/>
    <w:rsid w:val="36521CA0"/>
    <w:rsid w:val="366205A6"/>
    <w:rsid w:val="366235D0"/>
    <w:rsid w:val="366E2AEA"/>
    <w:rsid w:val="36712734"/>
    <w:rsid w:val="369E4A52"/>
    <w:rsid w:val="36AD2EE7"/>
    <w:rsid w:val="36B33EA4"/>
    <w:rsid w:val="36B97ADD"/>
    <w:rsid w:val="370A4123"/>
    <w:rsid w:val="37105007"/>
    <w:rsid w:val="3714046D"/>
    <w:rsid w:val="37166CDE"/>
    <w:rsid w:val="371B60A2"/>
    <w:rsid w:val="379F0A81"/>
    <w:rsid w:val="379F6CD3"/>
    <w:rsid w:val="37C93D50"/>
    <w:rsid w:val="37DE05C8"/>
    <w:rsid w:val="37EE4E6A"/>
    <w:rsid w:val="37F75570"/>
    <w:rsid w:val="38185412"/>
    <w:rsid w:val="3832028F"/>
    <w:rsid w:val="384855BD"/>
    <w:rsid w:val="38A8605B"/>
    <w:rsid w:val="38F90665"/>
    <w:rsid w:val="38FF5DE7"/>
    <w:rsid w:val="394C4C39"/>
    <w:rsid w:val="39836BEC"/>
    <w:rsid w:val="398D772B"/>
    <w:rsid w:val="39A44A75"/>
    <w:rsid w:val="39B35AC2"/>
    <w:rsid w:val="39D87059"/>
    <w:rsid w:val="39E76FAA"/>
    <w:rsid w:val="3A1C0AAF"/>
    <w:rsid w:val="3A5C534F"/>
    <w:rsid w:val="3A667F7C"/>
    <w:rsid w:val="3AC151B3"/>
    <w:rsid w:val="3AE57819"/>
    <w:rsid w:val="3AF85078"/>
    <w:rsid w:val="3B253993"/>
    <w:rsid w:val="3B2E2848"/>
    <w:rsid w:val="3B2F4FC9"/>
    <w:rsid w:val="3B626996"/>
    <w:rsid w:val="3B653D90"/>
    <w:rsid w:val="3BEE2461"/>
    <w:rsid w:val="3C292100"/>
    <w:rsid w:val="3C3E2DF0"/>
    <w:rsid w:val="3C552955"/>
    <w:rsid w:val="3C664263"/>
    <w:rsid w:val="3C667DC0"/>
    <w:rsid w:val="3C7613D4"/>
    <w:rsid w:val="3CEF6007"/>
    <w:rsid w:val="3D0A4BEF"/>
    <w:rsid w:val="3D4445A5"/>
    <w:rsid w:val="3D6C7658"/>
    <w:rsid w:val="3D704D42"/>
    <w:rsid w:val="3D8F1791"/>
    <w:rsid w:val="3D9F4236"/>
    <w:rsid w:val="3DBB586E"/>
    <w:rsid w:val="3DFE308E"/>
    <w:rsid w:val="3E043D34"/>
    <w:rsid w:val="3E3B41B2"/>
    <w:rsid w:val="3E416D36"/>
    <w:rsid w:val="3E436887"/>
    <w:rsid w:val="3E72001C"/>
    <w:rsid w:val="3E7802D0"/>
    <w:rsid w:val="3E823B0A"/>
    <w:rsid w:val="3EB23790"/>
    <w:rsid w:val="3ECC2B23"/>
    <w:rsid w:val="3EF7239A"/>
    <w:rsid w:val="3F1B30E3"/>
    <w:rsid w:val="3F4A21FD"/>
    <w:rsid w:val="3F6525B0"/>
    <w:rsid w:val="3F6C3694"/>
    <w:rsid w:val="3F7D3D9E"/>
    <w:rsid w:val="3F934A87"/>
    <w:rsid w:val="3FCF2120"/>
    <w:rsid w:val="3FDD6F27"/>
    <w:rsid w:val="3FEA0D08"/>
    <w:rsid w:val="402971CE"/>
    <w:rsid w:val="402B55A8"/>
    <w:rsid w:val="403F5BFA"/>
    <w:rsid w:val="4047615A"/>
    <w:rsid w:val="40583EC3"/>
    <w:rsid w:val="40D519B8"/>
    <w:rsid w:val="40DE086C"/>
    <w:rsid w:val="40E81285"/>
    <w:rsid w:val="419A2DBD"/>
    <w:rsid w:val="41E2613A"/>
    <w:rsid w:val="42445FBE"/>
    <w:rsid w:val="42650575"/>
    <w:rsid w:val="42700A46"/>
    <w:rsid w:val="4281555E"/>
    <w:rsid w:val="42930BD6"/>
    <w:rsid w:val="43000F6E"/>
    <w:rsid w:val="430B346F"/>
    <w:rsid w:val="43140575"/>
    <w:rsid w:val="43210EE4"/>
    <w:rsid w:val="432A62D3"/>
    <w:rsid w:val="433C5D1E"/>
    <w:rsid w:val="4350530C"/>
    <w:rsid w:val="43BB4117"/>
    <w:rsid w:val="43C27FD1"/>
    <w:rsid w:val="43D67F21"/>
    <w:rsid w:val="440A59E9"/>
    <w:rsid w:val="44412933"/>
    <w:rsid w:val="445D5F4C"/>
    <w:rsid w:val="446A2417"/>
    <w:rsid w:val="44703ED1"/>
    <w:rsid w:val="44B32010"/>
    <w:rsid w:val="44D04970"/>
    <w:rsid w:val="44EF1C2A"/>
    <w:rsid w:val="456311BE"/>
    <w:rsid w:val="45857508"/>
    <w:rsid w:val="45A100BA"/>
    <w:rsid w:val="45C00171"/>
    <w:rsid w:val="45C54E48"/>
    <w:rsid w:val="45D1274E"/>
    <w:rsid w:val="45E16FF2"/>
    <w:rsid w:val="45E216A1"/>
    <w:rsid w:val="46933EA7"/>
    <w:rsid w:val="469F0913"/>
    <w:rsid w:val="46AC58E1"/>
    <w:rsid w:val="4723522B"/>
    <w:rsid w:val="47411B55"/>
    <w:rsid w:val="4760647F"/>
    <w:rsid w:val="47CB42B8"/>
    <w:rsid w:val="47F210A1"/>
    <w:rsid w:val="47F41D83"/>
    <w:rsid w:val="48226D7F"/>
    <w:rsid w:val="482C45B3"/>
    <w:rsid w:val="483E7E42"/>
    <w:rsid w:val="48894852"/>
    <w:rsid w:val="48B819A3"/>
    <w:rsid w:val="48C400DF"/>
    <w:rsid w:val="48C47BE7"/>
    <w:rsid w:val="48C91E02"/>
    <w:rsid w:val="48D83DF3"/>
    <w:rsid w:val="48E56510"/>
    <w:rsid w:val="48FF3A76"/>
    <w:rsid w:val="494D658F"/>
    <w:rsid w:val="49520049"/>
    <w:rsid w:val="49731D6E"/>
    <w:rsid w:val="4977185E"/>
    <w:rsid w:val="497E098C"/>
    <w:rsid w:val="49891591"/>
    <w:rsid w:val="498B355B"/>
    <w:rsid w:val="499C12C5"/>
    <w:rsid w:val="49AB775A"/>
    <w:rsid w:val="49D01551"/>
    <w:rsid w:val="4A5A6411"/>
    <w:rsid w:val="4A600F1F"/>
    <w:rsid w:val="4A930919"/>
    <w:rsid w:val="4AA414CB"/>
    <w:rsid w:val="4AB24984"/>
    <w:rsid w:val="4AD827D0"/>
    <w:rsid w:val="4AD8457E"/>
    <w:rsid w:val="4B074E64"/>
    <w:rsid w:val="4B276F69"/>
    <w:rsid w:val="4B3A7D12"/>
    <w:rsid w:val="4B7B7ABD"/>
    <w:rsid w:val="4B906C07"/>
    <w:rsid w:val="4B913E7E"/>
    <w:rsid w:val="4BA6642B"/>
    <w:rsid w:val="4BE87D6B"/>
    <w:rsid w:val="4C137A41"/>
    <w:rsid w:val="4C1C66ED"/>
    <w:rsid w:val="4C50191A"/>
    <w:rsid w:val="4C692F12"/>
    <w:rsid w:val="4C990922"/>
    <w:rsid w:val="4CBB4158"/>
    <w:rsid w:val="4CCF550D"/>
    <w:rsid w:val="4D235A67"/>
    <w:rsid w:val="4D237E1F"/>
    <w:rsid w:val="4D29404E"/>
    <w:rsid w:val="4D7178A9"/>
    <w:rsid w:val="4D8C0AFD"/>
    <w:rsid w:val="4DA62712"/>
    <w:rsid w:val="4DDD4434"/>
    <w:rsid w:val="4E173610"/>
    <w:rsid w:val="4E2118E3"/>
    <w:rsid w:val="4E265601"/>
    <w:rsid w:val="4E4F6905"/>
    <w:rsid w:val="4EA336D8"/>
    <w:rsid w:val="4EA36C51"/>
    <w:rsid w:val="4EE06F77"/>
    <w:rsid w:val="4EF80DAD"/>
    <w:rsid w:val="4F2558B8"/>
    <w:rsid w:val="4F2627F5"/>
    <w:rsid w:val="4F275265"/>
    <w:rsid w:val="4F3124AF"/>
    <w:rsid w:val="4F337FD5"/>
    <w:rsid w:val="4F716D4F"/>
    <w:rsid w:val="4F9C3DCC"/>
    <w:rsid w:val="4FAD5FDA"/>
    <w:rsid w:val="4FB43616"/>
    <w:rsid w:val="4FB70C06"/>
    <w:rsid w:val="4FCA0330"/>
    <w:rsid w:val="4FFF435B"/>
    <w:rsid w:val="500D0826"/>
    <w:rsid w:val="505428F9"/>
    <w:rsid w:val="50575F45"/>
    <w:rsid w:val="50597F0F"/>
    <w:rsid w:val="506568B4"/>
    <w:rsid w:val="50895907"/>
    <w:rsid w:val="508A1E77"/>
    <w:rsid w:val="508D5E0B"/>
    <w:rsid w:val="50CF01D2"/>
    <w:rsid w:val="50CF1F80"/>
    <w:rsid w:val="50D46B08"/>
    <w:rsid w:val="50FA629D"/>
    <w:rsid w:val="511646DB"/>
    <w:rsid w:val="512D34BB"/>
    <w:rsid w:val="513F7105"/>
    <w:rsid w:val="516F72BF"/>
    <w:rsid w:val="517A1653"/>
    <w:rsid w:val="517E2B19"/>
    <w:rsid w:val="517E430A"/>
    <w:rsid w:val="51C27D36"/>
    <w:rsid w:val="5202788D"/>
    <w:rsid w:val="52302EF2"/>
    <w:rsid w:val="523072B3"/>
    <w:rsid w:val="524644C3"/>
    <w:rsid w:val="52691F60"/>
    <w:rsid w:val="528462EE"/>
    <w:rsid w:val="529E01D6"/>
    <w:rsid w:val="52B94C95"/>
    <w:rsid w:val="52BE405A"/>
    <w:rsid w:val="52D7511B"/>
    <w:rsid w:val="535B1F07"/>
    <w:rsid w:val="5382152B"/>
    <w:rsid w:val="53B316E5"/>
    <w:rsid w:val="53C75190"/>
    <w:rsid w:val="54446A80"/>
    <w:rsid w:val="54622056"/>
    <w:rsid w:val="54776BB6"/>
    <w:rsid w:val="548457F1"/>
    <w:rsid w:val="549F0B68"/>
    <w:rsid w:val="54AB5BF1"/>
    <w:rsid w:val="54AB6860"/>
    <w:rsid w:val="550668E3"/>
    <w:rsid w:val="550A7A2A"/>
    <w:rsid w:val="550F5041"/>
    <w:rsid w:val="55472A2C"/>
    <w:rsid w:val="554C0043"/>
    <w:rsid w:val="55546EF7"/>
    <w:rsid w:val="55CC0ABE"/>
    <w:rsid w:val="5606196D"/>
    <w:rsid w:val="56494582"/>
    <w:rsid w:val="566B0279"/>
    <w:rsid w:val="568775D5"/>
    <w:rsid w:val="568E4899"/>
    <w:rsid w:val="574C75CB"/>
    <w:rsid w:val="57713D91"/>
    <w:rsid w:val="57727B09"/>
    <w:rsid w:val="578A30A4"/>
    <w:rsid w:val="579E26AC"/>
    <w:rsid w:val="57D26DC6"/>
    <w:rsid w:val="57F56069"/>
    <w:rsid w:val="58071B26"/>
    <w:rsid w:val="581A4428"/>
    <w:rsid w:val="586438F5"/>
    <w:rsid w:val="58931AE5"/>
    <w:rsid w:val="589A10C5"/>
    <w:rsid w:val="58B72394"/>
    <w:rsid w:val="58BD4DB3"/>
    <w:rsid w:val="58DA7713"/>
    <w:rsid w:val="58E961AE"/>
    <w:rsid w:val="594D4389"/>
    <w:rsid w:val="595A2228"/>
    <w:rsid w:val="59B461B6"/>
    <w:rsid w:val="59D80245"/>
    <w:rsid w:val="5A032C9A"/>
    <w:rsid w:val="5A3A10D3"/>
    <w:rsid w:val="5A6373D1"/>
    <w:rsid w:val="5A84657D"/>
    <w:rsid w:val="5AAF7962"/>
    <w:rsid w:val="5AB000F4"/>
    <w:rsid w:val="5ABD033C"/>
    <w:rsid w:val="5B57504B"/>
    <w:rsid w:val="5B793B29"/>
    <w:rsid w:val="5B8449DB"/>
    <w:rsid w:val="5B9B13DC"/>
    <w:rsid w:val="5BB64468"/>
    <w:rsid w:val="5BCD22B6"/>
    <w:rsid w:val="5BD41FC1"/>
    <w:rsid w:val="5BF907F8"/>
    <w:rsid w:val="5C237623"/>
    <w:rsid w:val="5CAC7619"/>
    <w:rsid w:val="5CB169DD"/>
    <w:rsid w:val="5D096819"/>
    <w:rsid w:val="5D135E9A"/>
    <w:rsid w:val="5D347BC3"/>
    <w:rsid w:val="5D4F5F4A"/>
    <w:rsid w:val="5DB9023F"/>
    <w:rsid w:val="5DCD5A99"/>
    <w:rsid w:val="5DD82F19"/>
    <w:rsid w:val="5DEC4171"/>
    <w:rsid w:val="5E180F16"/>
    <w:rsid w:val="5E9F11E3"/>
    <w:rsid w:val="5EA70098"/>
    <w:rsid w:val="5EB278C9"/>
    <w:rsid w:val="5EDF7832"/>
    <w:rsid w:val="5EE71275"/>
    <w:rsid w:val="5EF17565"/>
    <w:rsid w:val="5EFF1C82"/>
    <w:rsid w:val="5F183046"/>
    <w:rsid w:val="5F3F4774"/>
    <w:rsid w:val="5F582B88"/>
    <w:rsid w:val="5F97010C"/>
    <w:rsid w:val="5FF61893"/>
    <w:rsid w:val="602709F8"/>
    <w:rsid w:val="6038228F"/>
    <w:rsid w:val="605E6476"/>
    <w:rsid w:val="606103C9"/>
    <w:rsid w:val="608D150F"/>
    <w:rsid w:val="608F5115"/>
    <w:rsid w:val="60B62814"/>
    <w:rsid w:val="60B95927"/>
    <w:rsid w:val="60BF5B6D"/>
    <w:rsid w:val="60ED22E2"/>
    <w:rsid w:val="610362D4"/>
    <w:rsid w:val="610B7004"/>
    <w:rsid w:val="6118527D"/>
    <w:rsid w:val="61202383"/>
    <w:rsid w:val="613043EF"/>
    <w:rsid w:val="61371BA7"/>
    <w:rsid w:val="614222FA"/>
    <w:rsid w:val="61425A64"/>
    <w:rsid w:val="614B3CBF"/>
    <w:rsid w:val="617970BB"/>
    <w:rsid w:val="61EE47DE"/>
    <w:rsid w:val="61F74CB9"/>
    <w:rsid w:val="61FA2BD4"/>
    <w:rsid w:val="61FF2350"/>
    <w:rsid w:val="62C3746A"/>
    <w:rsid w:val="62DE7EE0"/>
    <w:rsid w:val="630C0E11"/>
    <w:rsid w:val="631150EB"/>
    <w:rsid w:val="63750765"/>
    <w:rsid w:val="63860E8D"/>
    <w:rsid w:val="63BA45E6"/>
    <w:rsid w:val="63C17E4E"/>
    <w:rsid w:val="63CB2A7A"/>
    <w:rsid w:val="63D57455"/>
    <w:rsid w:val="63D715A1"/>
    <w:rsid w:val="63E15DFA"/>
    <w:rsid w:val="63E37DC4"/>
    <w:rsid w:val="63E63410"/>
    <w:rsid w:val="63FC658A"/>
    <w:rsid w:val="64034EC5"/>
    <w:rsid w:val="64576DFD"/>
    <w:rsid w:val="64654C7D"/>
    <w:rsid w:val="64664AA2"/>
    <w:rsid w:val="648A0240"/>
    <w:rsid w:val="648D1FCA"/>
    <w:rsid w:val="648D3899"/>
    <w:rsid w:val="64BD0615"/>
    <w:rsid w:val="653D3504"/>
    <w:rsid w:val="657C4DAA"/>
    <w:rsid w:val="65842EE1"/>
    <w:rsid w:val="65965345"/>
    <w:rsid w:val="65A6554D"/>
    <w:rsid w:val="65D379C4"/>
    <w:rsid w:val="65D73958"/>
    <w:rsid w:val="65E505B2"/>
    <w:rsid w:val="65E73470"/>
    <w:rsid w:val="65F82495"/>
    <w:rsid w:val="660404C6"/>
    <w:rsid w:val="663721A5"/>
    <w:rsid w:val="665E1984"/>
    <w:rsid w:val="66A77ED0"/>
    <w:rsid w:val="66ED18C1"/>
    <w:rsid w:val="66FB2B9B"/>
    <w:rsid w:val="67035656"/>
    <w:rsid w:val="67086EF1"/>
    <w:rsid w:val="67087B42"/>
    <w:rsid w:val="67114C48"/>
    <w:rsid w:val="67185FD7"/>
    <w:rsid w:val="67580275"/>
    <w:rsid w:val="677A0A3F"/>
    <w:rsid w:val="67915D89"/>
    <w:rsid w:val="680C46FC"/>
    <w:rsid w:val="68307350"/>
    <w:rsid w:val="683B0A95"/>
    <w:rsid w:val="687F50CC"/>
    <w:rsid w:val="688E20AC"/>
    <w:rsid w:val="689A2A1B"/>
    <w:rsid w:val="68C208E3"/>
    <w:rsid w:val="68D75C06"/>
    <w:rsid w:val="693D1D24"/>
    <w:rsid w:val="694806C9"/>
    <w:rsid w:val="69883EBC"/>
    <w:rsid w:val="69DA187A"/>
    <w:rsid w:val="69E228CC"/>
    <w:rsid w:val="6A102F95"/>
    <w:rsid w:val="6A1E49EE"/>
    <w:rsid w:val="6A1F58CE"/>
    <w:rsid w:val="6A386990"/>
    <w:rsid w:val="6A517800"/>
    <w:rsid w:val="6A733988"/>
    <w:rsid w:val="6A80346D"/>
    <w:rsid w:val="6A84252C"/>
    <w:rsid w:val="6B2667E8"/>
    <w:rsid w:val="6B2E7D36"/>
    <w:rsid w:val="6B317667"/>
    <w:rsid w:val="6B39651C"/>
    <w:rsid w:val="6B454EC0"/>
    <w:rsid w:val="6B4A697B"/>
    <w:rsid w:val="6B511AB7"/>
    <w:rsid w:val="6B8A321B"/>
    <w:rsid w:val="6BBF1117"/>
    <w:rsid w:val="6BD808EE"/>
    <w:rsid w:val="6BF60B14"/>
    <w:rsid w:val="6C142268"/>
    <w:rsid w:val="6C182A5D"/>
    <w:rsid w:val="6C3C4515"/>
    <w:rsid w:val="6C3F3D03"/>
    <w:rsid w:val="6C45090D"/>
    <w:rsid w:val="6C783074"/>
    <w:rsid w:val="6C906CD0"/>
    <w:rsid w:val="6C9F2F49"/>
    <w:rsid w:val="6CCC34A0"/>
    <w:rsid w:val="6CD01102"/>
    <w:rsid w:val="6CD44673"/>
    <w:rsid w:val="6CD81D64"/>
    <w:rsid w:val="6CEB1A97"/>
    <w:rsid w:val="6CF070AE"/>
    <w:rsid w:val="6D056FFD"/>
    <w:rsid w:val="6D140FEE"/>
    <w:rsid w:val="6D1C7EA3"/>
    <w:rsid w:val="6D3715F0"/>
    <w:rsid w:val="6D45284C"/>
    <w:rsid w:val="6D5A5870"/>
    <w:rsid w:val="6D610768"/>
    <w:rsid w:val="6DEF510F"/>
    <w:rsid w:val="6E0049EA"/>
    <w:rsid w:val="6E205AC9"/>
    <w:rsid w:val="6E2711F5"/>
    <w:rsid w:val="6E320F93"/>
    <w:rsid w:val="6E6765D2"/>
    <w:rsid w:val="6E7361E8"/>
    <w:rsid w:val="6EB34837"/>
    <w:rsid w:val="6EEB3447"/>
    <w:rsid w:val="6EF536BE"/>
    <w:rsid w:val="6EF966EE"/>
    <w:rsid w:val="6F165DD9"/>
    <w:rsid w:val="6F204B98"/>
    <w:rsid w:val="6F213E96"/>
    <w:rsid w:val="6F2B261F"/>
    <w:rsid w:val="6F4E16D7"/>
    <w:rsid w:val="6F814935"/>
    <w:rsid w:val="6FAD71DC"/>
    <w:rsid w:val="6FB9606E"/>
    <w:rsid w:val="6FD40F09"/>
    <w:rsid w:val="6FD607DD"/>
    <w:rsid w:val="6FF664A7"/>
    <w:rsid w:val="7007308C"/>
    <w:rsid w:val="70281CF1"/>
    <w:rsid w:val="70425E72"/>
    <w:rsid w:val="705160B5"/>
    <w:rsid w:val="707F6E74"/>
    <w:rsid w:val="709C4DBC"/>
    <w:rsid w:val="70A24B63"/>
    <w:rsid w:val="71283BDB"/>
    <w:rsid w:val="713F0604"/>
    <w:rsid w:val="715F1BDC"/>
    <w:rsid w:val="71673246"/>
    <w:rsid w:val="71704AAF"/>
    <w:rsid w:val="71705FC9"/>
    <w:rsid w:val="71A65242"/>
    <w:rsid w:val="71D71024"/>
    <w:rsid w:val="72281098"/>
    <w:rsid w:val="72282CA4"/>
    <w:rsid w:val="7238752D"/>
    <w:rsid w:val="72541E8D"/>
    <w:rsid w:val="7258372B"/>
    <w:rsid w:val="726102B7"/>
    <w:rsid w:val="72E6342D"/>
    <w:rsid w:val="72FA2A34"/>
    <w:rsid w:val="7318735E"/>
    <w:rsid w:val="733F2B3D"/>
    <w:rsid w:val="734E35CA"/>
    <w:rsid w:val="735C724B"/>
    <w:rsid w:val="735FDFD4"/>
    <w:rsid w:val="738C2E7A"/>
    <w:rsid w:val="74033B6B"/>
    <w:rsid w:val="741527AA"/>
    <w:rsid w:val="74507BFC"/>
    <w:rsid w:val="74824CA6"/>
    <w:rsid w:val="74862DDB"/>
    <w:rsid w:val="74866CC7"/>
    <w:rsid w:val="749E5641"/>
    <w:rsid w:val="74A76831"/>
    <w:rsid w:val="74AA0C93"/>
    <w:rsid w:val="74B549A6"/>
    <w:rsid w:val="74DF0134"/>
    <w:rsid w:val="752D5343"/>
    <w:rsid w:val="75353045"/>
    <w:rsid w:val="75457920"/>
    <w:rsid w:val="754D1541"/>
    <w:rsid w:val="75501031"/>
    <w:rsid w:val="757A4300"/>
    <w:rsid w:val="75994786"/>
    <w:rsid w:val="759E1D9D"/>
    <w:rsid w:val="75CF4FA6"/>
    <w:rsid w:val="75F6612F"/>
    <w:rsid w:val="76176804"/>
    <w:rsid w:val="761B33ED"/>
    <w:rsid w:val="76530DD9"/>
    <w:rsid w:val="766703E1"/>
    <w:rsid w:val="76724FD8"/>
    <w:rsid w:val="76870A83"/>
    <w:rsid w:val="76A038F3"/>
    <w:rsid w:val="76C361D8"/>
    <w:rsid w:val="76FD6F97"/>
    <w:rsid w:val="770F2826"/>
    <w:rsid w:val="77381D7D"/>
    <w:rsid w:val="773A3199"/>
    <w:rsid w:val="77510F5D"/>
    <w:rsid w:val="776B2153"/>
    <w:rsid w:val="778B45A3"/>
    <w:rsid w:val="77A141A5"/>
    <w:rsid w:val="77BD2282"/>
    <w:rsid w:val="77D3326F"/>
    <w:rsid w:val="77E37F3B"/>
    <w:rsid w:val="78356FDC"/>
    <w:rsid w:val="784F55D0"/>
    <w:rsid w:val="786712C6"/>
    <w:rsid w:val="788259A6"/>
    <w:rsid w:val="788F3A2D"/>
    <w:rsid w:val="78A23952"/>
    <w:rsid w:val="78A771BA"/>
    <w:rsid w:val="78BB721F"/>
    <w:rsid w:val="78C252D2"/>
    <w:rsid w:val="78E06AB0"/>
    <w:rsid w:val="78E632BF"/>
    <w:rsid w:val="78EC2E1F"/>
    <w:rsid w:val="79101809"/>
    <w:rsid w:val="79240F16"/>
    <w:rsid w:val="793B3DA7"/>
    <w:rsid w:val="79404F19"/>
    <w:rsid w:val="79A608A8"/>
    <w:rsid w:val="79B17BC5"/>
    <w:rsid w:val="79B97512"/>
    <w:rsid w:val="79C36276"/>
    <w:rsid w:val="7A1A1C0E"/>
    <w:rsid w:val="7A481563"/>
    <w:rsid w:val="7A490C32"/>
    <w:rsid w:val="7A4E42C3"/>
    <w:rsid w:val="7A5275FA"/>
    <w:rsid w:val="7A603AC5"/>
    <w:rsid w:val="7A684727"/>
    <w:rsid w:val="7AA5772A"/>
    <w:rsid w:val="7AA716F4"/>
    <w:rsid w:val="7AFD1314"/>
    <w:rsid w:val="7B226FCC"/>
    <w:rsid w:val="7B255D68"/>
    <w:rsid w:val="7B3041E8"/>
    <w:rsid w:val="7B322F9B"/>
    <w:rsid w:val="7B3D7962"/>
    <w:rsid w:val="7B4A207F"/>
    <w:rsid w:val="7B811F45"/>
    <w:rsid w:val="7BB35E76"/>
    <w:rsid w:val="7BB46E71"/>
    <w:rsid w:val="7BB64E3B"/>
    <w:rsid w:val="7BBA0721"/>
    <w:rsid w:val="7BC260B9"/>
    <w:rsid w:val="7BEC568C"/>
    <w:rsid w:val="7BF73FB5"/>
    <w:rsid w:val="7BFD3F26"/>
    <w:rsid w:val="7C1D1542"/>
    <w:rsid w:val="7C4D62CB"/>
    <w:rsid w:val="7C624B36"/>
    <w:rsid w:val="7C6B6751"/>
    <w:rsid w:val="7C812849"/>
    <w:rsid w:val="7CB77BE8"/>
    <w:rsid w:val="7CD13769"/>
    <w:rsid w:val="7CD60D99"/>
    <w:rsid w:val="7CE352DA"/>
    <w:rsid w:val="7D031D4D"/>
    <w:rsid w:val="7D0746CC"/>
    <w:rsid w:val="7D28412D"/>
    <w:rsid w:val="7D474AC8"/>
    <w:rsid w:val="7D4C20DE"/>
    <w:rsid w:val="7D621902"/>
    <w:rsid w:val="7D715FE9"/>
    <w:rsid w:val="7D9D0B8C"/>
    <w:rsid w:val="7DDA593C"/>
    <w:rsid w:val="7E6C1E82"/>
    <w:rsid w:val="7E7E09BD"/>
    <w:rsid w:val="7EA128FE"/>
    <w:rsid w:val="7EA6685A"/>
    <w:rsid w:val="7EBC79B7"/>
    <w:rsid w:val="7F0D1FD5"/>
    <w:rsid w:val="7F2839F3"/>
    <w:rsid w:val="7F3E1EFB"/>
    <w:rsid w:val="7F463BFE"/>
    <w:rsid w:val="7F601E71"/>
    <w:rsid w:val="7F631C62"/>
    <w:rsid w:val="7F6C2F0C"/>
    <w:rsid w:val="7F9B559F"/>
    <w:rsid w:val="7FFB7DEC"/>
    <w:rsid w:val="8EEF521B"/>
    <w:rsid w:val="BBF705B7"/>
    <w:rsid w:val="BE7EBD27"/>
    <w:rsid w:val="BE7FCB13"/>
    <w:rsid w:val="C9FF71C5"/>
    <w:rsid w:val="DBFB64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link w:val="8"/>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批注框文本 Char"/>
    <w:link w:val="2"/>
    <w:semiHidden/>
    <w:qFormat/>
    <w:uiPriority w:val="99"/>
    <w:rPr>
      <w:rFonts w:ascii="Times New Roman" w:hAnsi="Times New Roman"/>
      <w:kern w:val="2"/>
      <w:sz w:val="18"/>
      <w:szCs w:val="18"/>
    </w:rPr>
  </w:style>
  <w:style w:type="character" w:customStyle="1" w:styleId="9">
    <w:name w:val="页脚 Char"/>
    <w:link w:val="3"/>
    <w:qFormat/>
    <w:uiPriority w:val="99"/>
    <w:rPr>
      <w:rFonts w:ascii="Times New Roman" w:hAnsi="Times New Roman"/>
      <w:kern w:val="2"/>
      <w:sz w:val="18"/>
      <w:szCs w:val="18"/>
    </w:rPr>
  </w:style>
  <w:style w:type="character" w:customStyle="1" w:styleId="10">
    <w:name w:val="页眉 Char"/>
    <w:link w:val="4"/>
    <w:qFormat/>
    <w:uiPriority w:val="99"/>
    <w:rPr>
      <w:rFonts w:ascii="Times New Roman" w:hAnsi="Times New Roman"/>
      <w:kern w:val="2"/>
      <w:sz w:val="18"/>
      <w:szCs w:val="18"/>
    </w:rPr>
  </w:style>
  <w:style w:type="paragraph" w:styleId="11">
    <w:name w:val="List Paragraph"/>
    <w:basedOn w:val="1"/>
    <w:qFormat/>
    <w:uiPriority w:val="34"/>
    <w:pPr>
      <w:ind w:firstLine="420" w:firstLineChars="200"/>
    </w:pPr>
  </w:style>
  <w:style w:type="paragraph" w:styleId="12">
    <w:name w:val="No Spacing"/>
    <w:link w:val="13"/>
    <w:qFormat/>
    <w:uiPriority w:val="0"/>
    <w:rPr>
      <w:rFonts w:ascii="Calibri" w:hAnsi="Calibri" w:eastAsia="宋体" w:cs="Times New Roman"/>
      <w:sz w:val="22"/>
      <w:szCs w:val="22"/>
      <w:lang w:val="en-US" w:eastAsia="zh-CN" w:bidi="ar-SA"/>
    </w:rPr>
  </w:style>
  <w:style w:type="character" w:customStyle="1" w:styleId="13">
    <w:name w:val="无间隔 Char"/>
    <w:link w:val="12"/>
    <w:qFormat/>
    <w:uiPriority w:val="0"/>
    <w:rPr>
      <w:sz w:val="22"/>
      <w:szCs w:val="22"/>
      <w:lang w:bidi="ar-SA"/>
    </w:rPr>
  </w:style>
  <w:style w:type="paragraph" w:customStyle="1" w:styleId="14">
    <w:name w:val="正文1"/>
    <w:basedOn w:val="1"/>
    <w:qFormat/>
    <w:uiPriority w:val="0"/>
    <w:pPr>
      <w:widowControl/>
    </w:pPr>
    <w:rPr>
      <w:rFonts w:eastAsia="Times New Roman"/>
      <w:kern w:val="0"/>
      <w:lang w:val="zh-CN"/>
    </w:rPr>
  </w:style>
  <w:style w:type="character" w:customStyle="1" w:styleId="15">
    <w:name w:val="font31"/>
    <w:basedOn w:val="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23</Pages>
  <Words>6945</Words>
  <Characters>8382</Characters>
  <Lines>43</Lines>
  <Paragraphs>12</Paragraphs>
  <TotalTime>22</TotalTime>
  <ScaleCrop>false</ScaleCrop>
  <LinksUpToDate>false</LinksUpToDate>
  <CharactersWithSpaces>8487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2017-12-15T17:02:00Z</dcterms:created>
  <dc:creator>王炜(部门内部人)</dc:creator>
  <cp:lastModifiedBy>上官瑞</cp:lastModifiedBy>
  <cp:lastPrinted>2021-01-31T19:43:00Z</cp:lastPrinted>
  <dcterms:modified xsi:type="dcterms:W3CDTF">2023-06-07T01:34:36Z</dcterms:modified>
  <dc:title>×××部门</dc:title>
  <cp:revision>393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836D5D41F72046228140B8E0E5DDA79A_13</vt:lpwstr>
  </property>
</Properties>
</file>