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9060" w:type="dxa"/>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9060" w:type="dxa"/>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lang w:val="en-US" w:eastAsia="zh-CN"/>
              </w:rPr>
              <w:t>湟源县老干部局</w:t>
            </w:r>
          </w:p>
        </w:tc>
      </w:tr>
      <w:tr>
        <w:tblPrEx>
          <w:tblCellMar>
            <w:top w:w="0" w:type="dxa"/>
            <w:left w:w="108" w:type="dxa"/>
            <w:bottom w:w="0" w:type="dxa"/>
            <w:right w:w="108" w:type="dxa"/>
          </w:tblCellMar>
        </w:tblPrEx>
        <w:trPr>
          <w:trHeight w:val="720" w:hRule="atLeast"/>
          <w:jc w:val="center"/>
        </w:trPr>
        <w:tc>
          <w:tcPr>
            <w:tcW w:w="9060" w:type="dxa"/>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9060" w:type="dxa"/>
            <w:vAlign w:val="center"/>
          </w:tcPr>
          <w:p>
            <w:pPr>
              <w:pStyle w:val="12"/>
              <w:jc w:val="center"/>
            </w:pPr>
          </w:p>
        </w:tc>
      </w:tr>
    </w:tbl>
    <w:p/>
    <w:tbl>
      <w:tblPr>
        <w:tblStyle w:val="5"/>
        <w:tblpPr w:leftFromText="187" w:rightFromText="187" w:horzAnchor="margin" w:tblpXSpec="center" w:tblpYSpec="bottom"/>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湟源县老干部局是县委、县政府对全县离休干部和副县级以上退休干部进行管理的职能部门，按照党的老干部政策为指</w:t>
      </w:r>
      <w:r>
        <w:rPr>
          <w:rFonts w:hint="eastAsia" w:ascii="仿宋_GB2312" w:eastAsia="仿宋_GB2312"/>
          <w:sz w:val="32"/>
          <w:szCs w:val="32"/>
          <w:lang w:val="en-US" w:eastAsia="zh-CN"/>
        </w:rPr>
        <w:t>导</w:t>
      </w:r>
      <w:r>
        <w:rPr>
          <w:rFonts w:hint="eastAsia" w:ascii="仿宋_GB2312" w:eastAsia="仿宋_GB2312"/>
          <w:sz w:val="32"/>
          <w:szCs w:val="32"/>
        </w:rPr>
        <w:t>开展工作。其主要职能是：</w:t>
      </w:r>
      <w:r>
        <w:rPr>
          <w:rFonts w:hint="default" w:ascii="仿宋_GB2312" w:eastAsia="仿宋_GB2312"/>
          <w:sz w:val="32"/>
          <w:szCs w:val="32"/>
        </w:rPr>
        <w:t>承担全县离（退）休老干部的学习、文化、娱乐和生活保障等服务工作</w:t>
      </w:r>
      <w:r>
        <w:rPr>
          <w:rFonts w:hint="eastAsia" w:ascii="仿宋_GB2312" w:eastAsia="仿宋_GB2312"/>
          <w:sz w:val="32"/>
          <w:szCs w:val="32"/>
          <w:lang w:eastAsia="zh-CN"/>
        </w:rPr>
        <w:t>，</w:t>
      </w:r>
      <w:r>
        <w:rPr>
          <w:rFonts w:hint="eastAsia" w:ascii="仿宋_GB2312" w:eastAsia="仿宋_GB2312"/>
          <w:sz w:val="32"/>
          <w:szCs w:val="32"/>
        </w:rPr>
        <w:t>同时围绕关心下一代工作面临的新形势，深入开展关心下一代工作委员会相关工作。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纳入20</w:t>
      </w:r>
      <w:r>
        <w:rPr>
          <w:rFonts w:hint="eastAsia" w:ascii="仿宋_GB2312" w:eastAsia="仿宋_GB2312"/>
          <w:sz w:val="32"/>
          <w:szCs w:val="32"/>
          <w:lang w:val="en-US" w:eastAsia="zh-CN"/>
        </w:rPr>
        <w:t>23</w:t>
      </w:r>
      <w:r>
        <w:rPr>
          <w:rFonts w:hint="eastAsia" w:ascii="仿宋_GB2312" w:eastAsia="仿宋_GB2312"/>
          <w:sz w:val="32"/>
          <w:szCs w:val="32"/>
        </w:rPr>
        <w:t>年度</w:t>
      </w:r>
      <w:r>
        <w:rPr>
          <w:rFonts w:hint="eastAsia" w:ascii="仿宋_GB2312" w:eastAsia="仿宋_GB2312"/>
          <w:sz w:val="32"/>
          <w:szCs w:val="32"/>
          <w:lang w:eastAsia="zh-CN"/>
        </w:rPr>
        <w:t>预</w:t>
      </w:r>
      <w:r>
        <w:rPr>
          <w:rFonts w:hint="eastAsia" w:ascii="仿宋_GB2312" w:eastAsia="仿宋_GB2312"/>
          <w:sz w:val="32"/>
          <w:szCs w:val="32"/>
        </w:rPr>
        <w:t>算编制范围的预算单位共计1个，具体包括：</w:t>
      </w:r>
      <w:r>
        <w:rPr>
          <w:rFonts w:hint="eastAsia" w:ascii="仿宋_GB2312" w:eastAsia="仿宋_GB2312"/>
          <w:sz w:val="32"/>
          <w:szCs w:val="32"/>
          <w:lang w:eastAsia="zh-CN"/>
        </w:rPr>
        <w:t>湟源县</w:t>
      </w:r>
      <w:r>
        <w:rPr>
          <w:rFonts w:hint="eastAsia" w:ascii="仿宋_GB2312" w:eastAsia="仿宋_GB2312"/>
          <w:sz w:val="32"/>
          <w:szCs w:val="32"/>
        </w:rPr>
        <w:t>老干</w:t>
      </w:r>
      <w:r>
        <w:rPr>
          <w:rFonts w:hint="eastAsia" w:ascii="仿宋_GB2312" w:eastAsia="仿宋_GB2312"/>
          <w:sz w:val="32"/>
          <w:szCs w:val="32"/>
          <w:lang w:eastAsia="zh-CN"/>
        </w:rPr>
        <w:t>部</w:t>
      </w:r>
      <w:r>
        <w:rPr>
          <w:rFonts w:hint="eastAsia" w:ascii="仿宋_GB2312" w:eastAsia="仿宋_GB2312"/>
          <w:sz w:val="32"/>
          <w:szCs w:val="32"/>
        </w:rPr>
        <w:t>局本级。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我单位内设机构</w:t>
      </w:r>
      <w:r>
        <w:rPr>
          <w:rFonts w:hint="eastAsia" w:ascii="仿宋_GB2312" w:eastAsia="仿宋_GB2312"/>
          <w:sz w:val="32"/>
          <w:szCs w:val="32"/>
          <w:lang w:val="en-US" w:eastAsia="zh-CN"/>
        </w:rPr>
        <w:t>3</w:t>
      </w:r>
      <w:r>
        <w:rPr>
          <w:rFonts w:hint="eastAsia" w:ascii="仿宋_GB2312" w:eastAsia="仿宋_GB2312"/>
          <w:sz w:val="32"/>
          <w:szCs w:val="32"/>
        </w:rPr>
        <w:t>个，具体为：</w:t>
      </w:r>
      <w:r>
        <w:rPr>
          <w:rFonts w:hint="eastAsia" w:ascii="仿宋_GB2312" w:eastAsia="仿宋_GB2312"/>
          <w:sz w:val="32"/>
          <w:szCs w:val="32"/>
          <w:lang w:eastAsia="zh-CN"/>
        </w:rPr>
        <w:t>办公室</w:t>
      </w:r>
      <w:r>
        <w:rPr>
          <w:rFonts w:hint="eastAsia" w:ascii="仿宋_GB2312" w:eastAsia="仿宋_GB2312"/>
          <w:sz w:val="32"/>
          <w:szCs w:val="32"/>
        </w:rPr>
        <w:t>、</w:t>
      </w:r>
      <w:r>
        <w:rPr>
          <w:rFonts w:hint="eastAsia" w:ascii="仿宋_GB2312" w:eastAsia="仿宋_GB2312"/>
          <w:sz w:val="32"/>
          <w:szCs w:val="32"/>
          <w:lang w:eastAsia="zh-CN"/>
        </w:rPr>
        <w:t>财务室、关心下一代工作委员会办公室</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rPr>
        <w:t>我单位于1982年12月成立，属于参照公务员管理的事业单位,另加挂</w:t>
      </w:r>
      <w:r>
        <w:rPr>
          <w:rFonts w:hint="eastAsia" w:ascii="仿宋_GB2312" w:eastAsia="仿宋_GB2312"/>
          <w:sz w:val="32"/>
          <w:szCs w:val="32"/>
          <w:lang w:eastAsia="zh-CN"/>
        </w:rPr>
        <w:t>湟源县老干部服务中心、</w:t>
      </w:r>
      <w:r>
        <w:rPr>
          <w:rFonts w:hint="eastAsia" w:ascii="仿宋_GB2312" w:eastAsia="仿宋_GB2312"/>
          <w:sz w:val="32"/>
          <w:szCs w:val="32"/>
        </w:rPr>
        <w:t>湟源县关心下一代工作委员会办公室牌子。预算编制范围包括一级预算单位1个，无编制范围的二级预算单位。核定编制人数</w:t>
      </w:r>
      <w:r>
        <w:rPr>
          <w:rFonts w:hint="eastAsia" w:ascii="仿宋_GB2312" w:eastAsia="仿宋_GB2312"/>
          <w:sz w:val="32"/>
          <w:szCs w:val="32"/>
          <w:lang w:val="en-US" w:eastAsia="zh-CN"/>
        </w:rPr>
        <w:t>6</w:t>
      </w:r>
      <w:r>
        <w:rPr>
          <w:rFonts w:hint="eastAsia" w:ascii="仿宋_GB2312" w:eastAsia="仿宋_GB2312"/>
          <w:sz w:val="32"/>
          <w:szCs w:val="32"/>
        </w:rPr>
        <w:t>名，实有在职人员</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其中：公务员3人，工勤人员1人</w:t>
      </w:r>
      <w:r>
        <w:rPr>
          <w:rFonts w:hint="eastAsia" w:ascii="仿宋_GB2312" w:eastAsia="仿宋_GB2312"/>
          <w:sz w:val="32"/>
          <w:szCs w:val="32"/>
          <w:lang w:eastAsia="zh-CN"/>
        </w:rPr>
        <w:t>、事业人员</w:t>
      </w:r>
      <w:r>
        <w:rPr>
          <w:rFonts w:hint="eastAsia" w:ascii="仿宋_GB2312" w:eastAsia="仿宋_GB2312"/>
          <w:sz w:val="32"/>
          <w:szCs w:val="32"/>
          <w:lang w:val="en-US" w:eastAsia="zh-CN"/>
        </w:rPr>
        <w:t>2人</w:t>
      </w:r>
      <w:r>
        <w:rPr>
          <w:rFonts w:hint="eastAsia" w:ascii="仿宋_GB2312" w:eastAsia="仿宋_GB2312"/>
          <w:sz w:val="32"/>
          <w:szCs w:val="32"/>
          <w:lang w:eastAsia="zh-CN"/>
        </w:rPr>
        <w:t>）、</w:t>
      </w:r>
      <w:r>
        <w:rPr>
          <w:rFonts w:hint="eastAsia" w:ascii="仿宋_GB2312" w:eastAsia="仿宋_GB2312"/>
          <w:sz w:val="32"/>
          <w:szCs w:val="32"/>
        </w:rPr>
        <w:t>离休老干部</w:t>
      </w:r>
      <w:r>
        <w:rPr>
          <w:rFonts w:hint="eastAsia" w:ascii="仿宋_GB2312" w:eastAsia="仿宋_GB2312"/>
          <w:sz w:val="32"/>
          <w:szCs w:val="32"/>
          <w:lang w:val="en-US" w:eastAsia="zh-CN"/>
        </w:rPr>
        <w:t>6</w:t>
      </w:r>
      <w:r>
        <w:rPr>
          <w:rFonts w:hint="eastAsia" w:ascii="仿宋_GB2312" w:eastAsia="仿宋_GB2312"/>
          <w:sz w:val="32"/>
          <w:szCs w:val="32"/>
        </w:rPr>
        <w:t>人、退休老干部3</w:t>
      </w:r>
      <w:r>
        <w:rPr>
          <w:rFonts w:hint="eastAsia" w:ascii="仿宋_GB2312" w:eastAsia="仿宋_GB2312"/>
          <w:sz w:val="32"/>
          <w:szCs w:val="32"/>
          <w:lang w:val="en-US" w:eastAsia="zh-CN"/>
        </w:rPr>
        <w:t>2</w:t>
      </w:r>
      <w:r>
        <w:rPr>
          <w:rFonts w:hint="eastAsia" w:ascii="仿宋_GB2312" w:eastAsia="仿宋_GB2312"/>
          <w:sz w:val="32"/>
          <w:szCs w:val="32"/>
        </w:rPr>
        <w:t>人、遗属2</w:t>
      </w:r>
      <w:r>
        <w:rPr>
          <w:rFonts w:hint="eastAsia" w:ascii="仿宋_GB2312" w:eastAsia="仿宋_GB2312"/>
          <w:sz w:val="32"/>
          <w:szCs w:val="32"/>
          <w:lang w:val="en-US" w:eastAsia="zh-CN"/>
        </w:rPr>
        <w:t>6</w:t>
      </w:r>
      <w:r>
        <w:rPr>
          <w:rFonts w:hint="eastAsia" w:ascii="仿宋_GB2312" w:eastAsia="仿宋_GB2312"/>
          <w:sz w:val="32"/>
          <w:szCs w:val="32"/>
        </w:rPr>
        <w:t>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bookmarkStart w:id="6" w:name="_GoBack"/>
      <w:r>
        <w:rPr>
          <w:rFonts w:hint="eastAsia" w:ascii="仿宋_GB2312" w:eastAsia="仿宋_GB2312"/>
          <w:sz w:val="32"/>
          <w:szCs w:val="32"/>
          <w:lang w:val="en-US" w:eastAsia="zh-CN"/>
        </w:rPr>
        <w:t>纳入湟源县老干部局</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年部门预算编制范围的二级预算单位</w:t>
      </w:r>
      <w:r>
        <w:rPr>
          <w:rFonts w:hint="eastAsia" w:ascii="仿宋_GB2312" w:eastAsia="仿宋_GB2312"/>
          <w:sz w:val="32"/>
          <w:szCs w:val="32"/>
          <w:lang w:val="en-US" w:eastAsia="zh-CN"/>
        </w:rPr>
        <w:t>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p>
    <w:bookmarkEnd w:id="6"/>
    <w:tbl>
      <w:tblPr>
        <w:tblStyle w:val="5"/>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fixed"/>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474.33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420.56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45.18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8.59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474.33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474.33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474.33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474.33</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0956" w:type="dxa"/>
        <w:jc w:val="center"/>
        <w:tblLayout w:type="fixed"/>
        <w:tblCellMar>
          <w:top w:w="0" w:type="dxa"/>
          <w:left w:w="108" w:type="dxa"/>
          <w:bottom w:w="0" w:type="dxa"/>
          <w:right w:w="108" w:type="dxa"/>
        </w:tblCellMar>
      </w:tblPr>
      <w:tblGrid>
        <w:gridCol w:w="1023"/>
        <w:gridCol w:w="1011"/>
        <w:gridCol w:w="922"/>
        <w:gridCol w:w="998"/>
        <w:gridCol w:w="875"/>
        <w:gridCol w:w="875"/>
        <w:gridCol w:w="875"/>
        <w:gridCol w:w="875"/>
        <w:gridCol w:w="875"/>
        <w:gridCol w:w="875"/>
        <w:gridCol w:w="875"/>
        <w:gridCol w:w="877"/>
      </w:tblGrid>
      <w:tr>
        <w:tblPrEx>
          <w:tblCellMar>
            <w:top w:w="0" w:type="dxa"/>
            <w:left w:w="108" w:type="dxa"/>
            <w:bottom w:w="0" w:type="dxa"/>
            <w:right w:w="108" w:type="dxa"/>
          </w:tblCellMar>
        </w:tblPrEx>
        <w:trPr>
          <w:trHeight w:val="392" w:hRule="atLeast"/>
          <w:jc w:val="center"/>
        </w:trPr>
        <w:tc>
          <w:tcPr>
            <w:tcW w:w="10956" w:type="dxa"/>
            <w:gridSpan w:val="12"/>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0956"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0956"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474.33</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474.33</w:t>
            </w: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湟源县老干部局</w:t>
            </w:r>
          </w:p>
        </w:tc>
        <w:tc>
          <w:tcPr>
            <w:tcW w:w="10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474.33</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474.33</w:t>
            </w: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湟源县老干部局（本级）</w:t>
            </w:r>
          </w:p>
        </w:tc>
        <w:tc>
          <w:tcPr>
            <w:tcW w:w="10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474.33</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474.33</w:t>
            </w: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331" w:type="dxa"/>
        <w:jc w:val="center"/>
        <w:tblLayout w:type="fixed"/>
        <w:tblCellMar>
          <w:top w:w="0" w:type="dxa"/>
          <w:left w:w="108" w:type="dxa"/>
          <w:bottom w:w="0" w:type="dxa"/>
          <w:right w:w="108" w:type="dxa"/>
        </w:tblCellMar>
      </w:tblPr>
      <w:tblGrid>
        <w:gridCol w:w="1100"/>
        <w:gridCol w:w="3881"/>
        <w:gridCol w:w="1058"/>
        <w:gridCol w:w="1058"/>
        <w:gridCol w:w="1058"/>
        <w:gridCol w:w="1058"/>
        <w:gridCol w:w="1058"/>
        <w:gridCol w:w="1060"/>
      </w:tblGrid>
      <w:tr>
        <w:tblPrEx>
          <w:tblCellMar>
            <w:top w:w="0" w:type="dxa"/>
            <w:left w:w="108" w:type="dxa"/>
            <w:bottom w:w="0" w:type="dxa"/>
            <w:right w:w="108" w:type="dxa"/>
          </w:tblCellMar>
        </w:tblPrEx>
        <w:trPr>
          <w:trHeight w:val="187" w:hRule="atLeast"/>
          <w:jc w:val="center"/>
        </w:trPr>
        <w:tc>
          <w:tcPr>
            <w:tcW w:w="11331" w:type="dxa"/>
            <w:gridSpan w:val="8"/>
            <w:tcBorders>
              <w:top w:val="nil"/>
              <w:left w:val="nil"/>
              <w:bottom w:val="nil"/>
              <w:right w:val="nil"/>
            </w:tcBorders>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31" w:type="dxa"/>
            <w:gridSpan w:val="8"/>
            <w:tcBorders>
              <w:top w:val="nil"/>
              <w:left w:val="nil"/>
              <w:bottom w:val="nil"/>
              <w:right w:val="nil"/>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31" w:type="dxa"/>
            <w:gridSpan w:val="8"/>
            <w:tcBorders>
              <w:top w:val="nil"/>
              <w:left w:val="nil"/>
              <w:bottom w:val="single" w:color="auto" w:sz="4" w:space="0"/>
              <w:right w:val="nil"/>
            </w:tcBorders>
            <w:shd w:val="clear" w:color="auto" w:fill="FFFFFF"/>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474.33</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439.33</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420.56</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385.56</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420.40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385.40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2080501</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行政单位离退休</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134.50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134.50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2080503</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离退休人员管理机构</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125.02</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90.02</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4.61</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4.61</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147.05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147.05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0.15</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45.18</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45.18</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45.18</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45.18</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40.27</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40.27</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4.31</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4.31</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084"/>
        <w:gridCol w:w="2019"/>
        <w:gridCol w:w="1266"/>
        <w:gridCol w:w="120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74"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74" w:type="dxa"/>
            <w:gridSpan w:val="6"/>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74" w:type="dxa"/>
            <w:gridSpan w:val="6"/>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04" w:type="dxa"/>
            <w:gridSpan w:val="2"/>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019"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66"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01"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84"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474.33</w:t>
            </w: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474.33</w:t>
            </w:r>
          </w:p>
        </w:tc>
        <w:tc>
          <w:tcPr>
            <w:tcW w:w="1201"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474.33</w:t>
            </w: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474.33</w:t>
            </w: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420.56</w:t>
            </w:r>
          </w:p>
        </w:tc>
        <w:tc>
          <w:tcPr>
            <w:tcW w:w="1201"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420.56</w:t>
            </w: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45.18</w:t>
            </w:r>
          </w:p>
        </w:tc>
        <w:tc>
          <w:tcPr>
            <w:tcW w:w="1201"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45.18</w:t>
            </w: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201"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vAlign w:val="center"/>
          </w:tcPr>
          <w:p>
            <w:pPr>
              <w:widowControl/>
              <w:jc w:val="center"/>
              <w:rPr>
                <w:rFonts w:ascii="宋体" w:hAnsi="宋体" w:cs="宋体"/>
                <w:kern w:val="0"/>
                <w:sz w:val="20"/>
              </w:rPr>
            </w:pPr>
          </w:p>
        </w:tc>
        <w:tc>
          <w:tcPr>
            <w:tcW w:w="2019" w:type="dxa"/>
            <w:shd w:val="clear" w:color="auto" w:fill="FFFFFF"/>
            <w:vAlign w:val="center"/>
          </w:tcPr>
          <w:p>
            <w:pPr>
              <w:widowControl/>
              <w:jc w:val="left"/>
              <w:rPr>
                <w:rFonts w:ascii="宋体" w:hAnsi="宋体" w:cs="宋体"/>
                <w:kern w:val="0"/>
                <w:sz w:val="20"/>
              </w:rPr>
            </w:pPr>
          </w:p>
        </w:tc>
        <w:tc>
          <w:tcPr>
            <w:tcW w:w="1266" w:type="dxa"/>
            <w:shd w:val="clear" w:color="auto" w:fill="FFFFFF"/>
            <w:vAlign w:val="center"/>
          </w:tcPr>
          <w:p>
            <w:pPr>
              <w:widowControl/>
              <w:jc w:val="center"/>
              <w:rPr>
                <w:rFonts w:ascii="宋体" w:hAnsi="宋体" w:eastAsia="宋体" w:cs="宋体"/>
                <w:kern w:val="0"/>
                <w:sz w:val="20"/>
                <w:lang w:val="en-US" w:eastAsia="zh-CN" w:bidi="ar-SA"/>
              </w:rPr>
            </w:pPr>
          </w:p>
        </w:tc>
        <w:tc>
          <w:tcPr>
            <w:tcW w:w="1201" w:type="dxa"/>
            <w:shd w:val="clear" w:color="auto" w:fill="FFFFFF"/>
            <w:vAlign w:val="center"/>
          </w:tcPr>
          <w:p>
            <w:pPr>
              <w:widowControl/>
              <w:jc w:val="center"/>
              <w:rPr>
                <w:rFonts w:ascii="宋体" w:hAnsi="宋体" w:eastAsia="宋体" w:cs="宋体"/>
                <w:kern w:val="0"/>
                <w:sz w:val="20"/>
                <w:lang w:val="en-US" w:eastAsia="zh-CN" w:bidi="ar-SA"/>
              </w:rPr>
            </w:pP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0"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474.33</w:t>
            </w:r>
          </w:p>
        </w:tc>
        <w:tc>
          <w:tcPr>
            <w:tcW w:w="2019"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6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474.33</w:t>
            </w:r>
          </w:p>
        </w:tc>
        <w:tc>
          <w:tcPr>
            <w:tcW w:w="1201"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474.33</w:t>
            </w:r>
          </w:p>
        </w:tc>
        <w:tc>
          <w:tcPr>
            <w:tcW w:w="1184" w:type="dxa"/>
            <w:shd w:val="clear" w:color="auto" w:fill="FFFFFF"/>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56"/>
        <w:gridCol w:w="1434"/>
        <w:gridCol w:w="1434"/>
        <w:gridCol w:w="143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0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合计</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474.33</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439.33</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420.56</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385.56</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420.40</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385.40</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行政单位离退休</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134.50</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134.50</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离退休人员管理机构</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125.02</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90.02</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9.23</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4.61</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4.61</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147.05</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147.05</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0.15</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0.15</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0.15</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0.15</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45.18</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45.18</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45.18</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45.18</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40.27</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40.27</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0.60</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0.60</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4.31</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8.59</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8.59</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8.59</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079" w:type="dxa"/>
        <w:jc w:val="center"/>
        <w:tblLayout w:type="fixed"/>
        <w:tblCellMar>
          <w:top w:w="0" w:type="dxa"/>
          <w:left w:w="108" w:type="dxa"/>
          <w:bottom w:w="0" w:type="dxa"/>
          <w:right w:w="108" w:type="dxa"/>
        </w:tblCellMar>
      </w:tblPr>
      <w:tblGrid>
        <w:gridCol w:w="650"/>
        <w:gridCol w:w="650"/>
        <w:gridCol w:w="2904"/>
        <w:gridCol w:w="2053"/>
        <w:gridCol w:w="2494"/>
        <w:gridCol w:w="2328"/>
      </w:tblGrid>
      <w:tr>
        <w:tblPrEx>
          <w:tblCellMar>
            <w:top w:w="0" w:type="dxa"/>
            <w:left w:w="108" w:type="dxa"/>
            <w:bottom w:w="0" w:type="dxa"/>
            <w:right w:w="108" w:type="dxa"/>
          </w:tblCellMar>
        </w:tblPrEx>
        <w:trPr>
          <w:trHeight w:val="264" w:hRule="atLeast"/>
          <w:jc w:val="center"/>
        </w:trPr>
        <w:tc>
          <w:tcPr>
            <w:tcW w:w="11079" w:type="dxa"/>
            <w:gridSpan w:val="6"/>
            <w:tcBorders>
              <w:top w:val="nil"/>
              <w:left w:val="nil"/>
              <w:bottom w:val="nil"/>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079" w:type="dxa"/>
            <w:gridSpan w:val="6"/>
            <w:tcBorders>
              <w:top w:val="nil"/>
              <w:left w:val="nil"/>
              <w:bottom w:val="nil"/>
              <w:right w:val="nil"/>
            </w:tcBorders>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079" w:type="dxa"/>
            <w:gridSpan w:val="6"/>
            <w:tcBorders>
              <w:top w:val="nil"/>
              <w:left w:val="nil"/>
              <w:bottom w:val="single" w:color="auto" w:sz="4" w:space="0"/>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0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04"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439.33</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429.16</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10.17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110.25</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110.25</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22.59</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22.59</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29.75</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29.75</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21.65</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21.65</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5.86</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5.86</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4.61</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10.17</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10.17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0.56</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0.70</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劳务费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2.52</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2.42</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318.91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318.91</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离休费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134.50</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134.50</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85.61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85.61</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61.44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61.44</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37.36</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37.36</w:t>
            </w: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05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3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56"/>
        <w:gridCol w:w="967"/>
        <w:gridCol w:w="881"/>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63" w:type="dxa"/>
            <w:gridSpan w:val="12"/>
            <w:tcBorders>
              <w:top w:val="nil"/>
              <w:left w:val="nil"/>
              <w:bottom w:val="nil"/>
              <w:right w:val="nil"/>
            </w:tcBorders>
            <w:vAlign w:val="bottom"/>
          </w:tcPr>
          <w:p>
            <w:pPr>
              <w:widowControl/>
              <w:ind w:right="181"/>
              <w:jc w:val="right"/>
              <w:rPr>
                <w:rFonts w:ascii="宋体" w:hAnsi="宋体" w:cs="宋体"/>
                <w:b/>
                <w:kern w:val="0"/>
                <w:sz w:val="18"/>
                <w:szCs w:val="18"/>
              </w:rPr>
            </w:pPr>
            <w:bookmarkStart w:id="1" w:name="RANGE!A1:F62"/>
            <w:bookmarkEnd w:id="1"/>
            <w:bookmarkStart w:id="2" w:name="RANGE!A1:G6"/>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63"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63" w:type="dxa"/>
            <w:gridSpan w:val="12"/>
            <w:tcBorders>
              <w:top w:val="nil"/>
              <w:left w:val="nil"/>
              <w:bottom w:val="single" w:color="auto" w:sz="4" w:space="0"/>
              <w:right w:val="nil"/>
            </w:tcBorders>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66"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32"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56"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13"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32" w:type="dxa"/>
            <w:vMerge w:val="continue"/>
            <w:vAlign w:val="center"/>
          </w:tcPr>
          <w:p>
            <w:pPr>
              <w:widowControl/>
              <w:jc w:val="left"/>
              <w:rPr>
                <w:rFonts w:ascii="宋体" w:hAnsi="宋体" w:cs="宋体"/>
                <w:b/>
                <w:bCs/>
                <w:color w:val="000000"/>
                <w:kern w:val="0"/>
                <w:sz w:val="22"/>
                <w:szCs w:val="22"/>
              </w:rPr>
            </w:pPr>
          </w:p>
        </w:tc>
        <w:tc>
          <w:tcPr>
            <w:tcW w:w="956" w:type="dxa"/>
            <w:vMerge w:val="continue"/>
            <w:vAlign w:val="center"/>
          </w:tcPr>
          <w:p>
            <w:pPr>
              <w:widowControl/>
              <w:jc w:val="left"/>
              <w:rPr>
                <w:rFonts w:ascii="宋体" w:hAnsi="宋体" w:cs="宋体"/>
                <w:b/>
                <w:bCs/>
                <w:color w:val="000000"/>
                <w:kern w:val="0"/>
                <w:sz w:val="22"/>
                <w:szCs w:val="22"/>
              </w:rPr>
            </w:pPr>
          </w:p>
        </w:tc>
        <w:tc>
          <w:tcPr>
            <w:tcW w:w="967"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881"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32"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1.21</w:t>
            </w:r>
          </w:p>
        </w:tc>
        <w:tc>
          <w:tcPr>
            <w:tcW w:w="956" w:type="dxa"/>
            <w:shd w:val="clear" w:color="000000" w:fill="FFFFFF"/>
            <w:vAlign w:val="center"/>
          </w:tcPr>
          <w:p>
            <w:pPr>
              <w:widowControl/>
              <w:jc w:val="center"/>
              <w:rPr>
                <w:rFonts w:hint="eastAsia" w:ascii="宋体" w:hAnsi="宋体" w:cs="宋体"/>
                <w:color w:val="000000"/>
                <w:kern w:val="0"/>
                <w:sz w:val="22"/>
                <w:szCs w:val="22"/>
              </w:rPr>
            </w:pPr>
          </w:p>
        </w:tc>
        <w:tc>
          <w:tcPr>
            <w:tcW w:w="967"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881" w:type="dxa"/>
            <w:shd w:val="clear" w:color="000000" w:fill="FFFFFF"/>
            <w:vAlign w:val="center"/>
          </w:tcPr>
          <w:p>
            <w:pPr>
              <w:widowControl/>
              <w:jc w:val="center"/>
              <w:rPr>
                <w:rFonts w:hint="eastAsia" w:ascii="宋体" w:hAnsi="宋体" w:cs="宋体"/>
                <w:color w:val="000000"/>
                <w:kern w:val="0"/>
                <w:sz w:val="22"/>
                <w:szCs w:val="22"/>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0.21</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1.21</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0.21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湟源县老干部局2023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湟源县老干部局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一般公共预算拨款收入474.33万元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社会保障和就业支出420.56万元，卫生健康支出45.18万元，住房保障支出8.59万元</w:t>
      </w:r>
      <w:r>
        <w:rPr>
          <w:rFonts w:hint="eastAsia" w:ascii="仿宋_GB2312" w:eastAsia="仿宋_GB2312"/>
          <w:sz w:val="32"/>
          <w:szCs w:val="32"/>
        </w:rPr>
        <w:t>。</w:t>
      </w:r>
      <w:r>
        <w:rPr>
          <w:rFonts w:hint="eastAsia" w:ascii="仿宋_GB2312" w:eastAsia="仿宋_GB2312"/>
          <w:sz w:val="32"/>
          <w:szCs w:val="32"/>
          <w:lang w:val="en-US" w:eastAsia="zh-CN"/>
        </w:rPr>
        <w:t>湟源县老干部局2023</w:t>
      </w:r>
      <w:r>
        <w:rPr>
          <w:rFonts w:hint="eastAsia" w:ascii="仿宋_GB2312" w:eastAsia="仿宋_GB2312"/>
          <w:sz w:val="32"/>
          <w:szCs w:val="32"/>
        </w:rPr>
        <w:t>年收支总预算</w:t>
      </w:r>
      <w:r>
        <w:rPr>
          <w:rFonts w:hint="eastAsia" w:ascii="仿宋_GB2312" w:eastAsia="仿宋_GB2312"/>
          <w:sz w:val="32"/>
          <w:szCs w:val="32"/>
          <w:lang w:val="en-US" w:eastAsia="zh-CN"/>
        </w:rPr>
        <w:t>474.33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湟源县老干部局2023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年收入预算</w:t>
      </w:r>
      <w:r>
        <w:rPr>
          <w:rFonts w:hint="eastAsia" w:ascii="仿宋_GB2312" w:eastAsia="仿宋_GB2312"/>
          <w:sz w:val="32"/>
          <w:szCs w:val="32"/>
          <w:lang w:val="en-US" w:eastAsia="zh-CN"/>
        </w:rPr>
        <w:t>474.33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一般公共预算拨款收入474.33万元，占100.00%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8.45pt;width:344.4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湟源县老干部局2023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年支出预算</w:t>
      </w:r>
      <w:r>
        <w:rPr>
          <w:rFonts w:hint="eastAsia" w:ascii="仿宋_GB2312" w:eastAsia="仿宋_GB2312"/>
          <w:sz w:val="32"/>
          <w:szCs w:val="32"/>
          <w:lang w:val="en-US" w:eastAsia="zh-CN"/>
        </w:rPr>
        <w:t>474.33</w:t>
      </w:r>
      <w:r>
        <w:rPr>
          <w:rFonts w:hint="eastAsia" w:ascii="仿宋_GB2312" w:eastAsia="仿宋_GB2312"/>
          <w:sz w:val="32"/>
          <w:szCs w:val="32"/>
        </w:rPr>
        <w:t>万元，其中：</w:t>
      </w:r>
      <w:r>
        <w:rPr>
          <w:rFonts w:hint="eastAsia" w:ascii="仿宋_GB2312" w:eastAsia="仿宋_GB2312"/>
          <w:sz w:val="32"/>
          <w:szCs w:val="32"/>
          <w:lang w:val="en-US" w:eastAsia="zh-CN"/>
        </w:rPr>
        <w:t>基本支出439.33万元，占92.62%；项目支出35.00万元，占7.38%</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1.9pt;width:351.9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湟源县老干部局2023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474.33</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增加51.32</w:t>
      </w:r>
      <w:r>
        <w:rPr>
          <w:rFonts w:hint="eastAsia" w:ascii="仿宋_GB2312" w:eastAsia="仿宋_GB2312"/>
          <w:sz w:val="32"/>
          <w:szCs w:val="32"/>
        </w:rPr>
        <w:t>万元，主要是</w:t>
      </w:r>
      <w:r>
        <w:rPr>
          <w:rFonts w:hint="eastAsia" w:ascii="仿宋_GB2312" w:eastAsia="仿宋_GB2312"/>
          <w:sz w:val="32"/>
          <w:szCs w:val="32"/>
          <w:lang w:val="en-US" w:eastAsia="zh-CN"/>
        </w:rPr>
        <w:t>2023年增加新招录事业人员1人，工资、养老、医疗、住房公积金等相应增加；离休生活、政治待遇“两项经费”增加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一般公共预算拨款收入474.33万元，上年结转0.00万元；政府性基金预算拨款收入0.00万元，上年结转0.00万元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社会保障和就业支出420.56万元， 卫生健康支出45.18万元， 住房保障支出8.59万元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9.95pt;width:369.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湟源县老干部局2023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474.33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增加51.32</w:t>
      </w:r>
      <w:r>
        <w:rPr>
          <w:rFonts w:hint="eastAsia" w:ascii="仿宋_GB2312" w:eastAsia="仿宋_GB2312"/>
          <w:sz w:val="32"/>
          <w:szCs w:val="32"/>
        </w:rPr>
        <w:t>万元，主要是</w:t>
      </w:r>
      <w:r>
        <w:rPr>
          <w:rFonts w:hint="eastAsia" w:ascii="仿宋_GB2312" w:eastAsia="仿宋_GB2312"/>
          <w:sz w:val="32"/>
          <w:szCs w:val="32"/>
          <w:lang w:val="en-US" w:eastAsia="zh-CN"/>
        </w:rPr>
        <w:t>2023年增加新招录事业人员1人，工资、养老、医疗、住房公积金等相应增加；离休生活、政治待遇“两项经费”增加</w:t>
      </w:r>
      <w:r>
        <w:rPr>
          <w:rFonts w:hint="eastAsia" w:ascii="仿宋_GB2312" w:eastAsia="仿宋_GB2312"/>
          <w:sz w:val="32"/>
          <w:szCs w:val="32"/>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5.15pt;width:365.9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社会保障和就业支出420.56万元，占88.66%；卫生健康支出45.18万元，占9.53%；住房保障支出8.59万元，占1.81%</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3.75pt;width:355.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行政单位离退休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134.50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增加31.37</w:t>
      </w:r>
      <w:r>
        <w:rPr>
          <w:rFonts w:hint="eastAsia" w:ascii="仿宋_GB2312" w:eastAsia="仿宋_GB2312"/>
          <w:sz w:val="32"/>
          <w:szCs w:val="32"/>
        </w:rPr>
        <w:t>万元，</w:t>
      </w:r>
      <w:r>
        <w:rPr>
          <w:rFonts w:hint="eastAsia" w:ascii="仿宋_GB2312" w:eastAsia="仿宋_GB2312"/>
          <w:sz w:val="32"/>
          <w:szCs w:val="32"/>
          <w:lang w:val="en-US" w:eastAsia="zh-CN"/>
        </w:rPr>
        <w:t>增长30.42</w:t>
      </w:r>
      <w:r>
        <w:rPr>
          <w:rFonts w:hint="eastAsia" w:ascii="仿宋_GB2312" w:eastAsia="仿宋_GB2312"/>
          <w:sz w:val="32"/>
          <w:szCs w:val="32"/>
        </w:rPr>
        <w:t>%。主要是</w:t>
      </w:r>
      <w:r>
        <w:rPr>
          <w:rFonts w:hint="eastAsia" w:ascii="仿宋_GB2312" w:eastAsia="仿宋_GB2312"/>
          <w:sz w:val="32"/>
          <w:szCs w:val="32"/>
          <w:lang w:val="en-US" w:eastAsia="zh-CN"/>
        </w:rPr>
        <w:t>2023年离休生活、政治待遇“两项经费”增加；扩大发放工资及基础绩效奖金增加。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离退休人员管理机构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125.02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增加13.78</w:t>
      </w:r>
      <w:r>
        <w:rPr>
          <w:rFonts w:hint="eastAsia" w:ascii="仿宋_GB2312" w:eastAsia="仿宋_GB2312"/>
          <w:sz w:val="32"/>
          <w:szCs w:val="32"/>
        </w:rPr>
        <w:t>万元，</w:t>
      </w:r>
      <w:r>
        <w:rPr>
          <w:rFonts w:hint="eastAsia" w:ascii="仿宋_GB2312" w:eastAsia="仿宋_GB2312"/>
          <w:sz w:val="32"/>
          <w:szCs w:val="32"/>
          <w:lang w:val="en-US" w:eastAsia="zh-CN"/>
        </w:rPr>
        <w:t>增长12.39</w:t>
      </w:r>
      <w:r>
        <w:rPr>
          <w:rFonts w:hint="eastAsia" w:ascii="仿宋_GB2312" w:eastAsia="仿宋_GB2312"/>
          <w:sz w:val="32"/>
          <w:szCs w:val="32"/>
        </w:rPr>
        <w:t>%。主要是</w:t>
      </w:r>
      <w:r>
        <w:rPr>
          <w:rFonts w:hint="eastAsia" w:ascii="仿宋_GB2312" w:eastAsia="仿宋_GB2312"/>
          <w:sz w:val="32"/>
          <w:szCs w:val="32"/>
          <w:lang w:val="en-US" w:eastAsia="zh-CN"/>
        </w:rPr>
        <w:t>2023年增加新招录事业人员1人，工资、津贴等相应增加。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9.23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增加2.17</w:t>
      </w:r>
      <w:r>
        <w:rPr>
          <w:rFonts w:hint="eastAsia" w:ascii="仿宋_GB2312" w:eastAsia="仿宋_GB2312"/>
          <w:sz w:val="32"/>
          <w:szCs w:val="32"/>
        </w:rPr>
        <w:t>万元，</w:t>
      </w:r>
      <w:r>
        <w:rPr>
          <w:rFonts w:hint="eastAsia" w:ascii="仿宋_GB2312" w:eastAsia="仿宋_GB2312"/>
          <w:sz w:val="32"/>
          <w:szCs w:val="32"/>
          <w:lang w:val="en-US" w:eastAsia="zh-CN"/>
        </w:rPr>
        <w:t>增长30.74</w:t>
      </w:r>
      <w:r>
        <w:rPr>
          <w:rFonts w:hint="eastAsia" w:ascii="仿宋_GB2312" w:eastAsia="仿宋_GB2312"/>
          <w:sz w:val="32"/>
          <w:szCs w:val="32"/>
        </w:rPr>
        <w:t>%。主要是</w:t>
      </w:r>
      <w:r>
        <w:rPr>
          <w:rFonts w:hint="eastAsia" w:ascii="仿宋_GB2312" w:eastAsia="仿宋_GB2312"/>
          <w:sz w:val="32"/>
          <w:szCs w:val="32"/>
          <w:lang w:val="en-US" w:eastAsia="zh-CN"/>
        </w:rPr>
        <w:t>2023年增加新招录事业人员1人，单位基本养老保险缴费支出相应增加。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4.61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增加1.08</w:t>
      </w:r>
      <w:r>
        <w:rPr>
          <w:rFonts w:hint="eastAsia" w:ascii="仿宋_GB2312" w:eastAsia="仿宋_GB2312"/>
          <w:sz w:val="32"/>
          <w:szCs w:val="32"/>
        </w:rPr>
        <w:t>万元，</w:t>
      </w:r>
      <w:r>
        <w:rPr>
          <w:rFonts w:hint="eastAsia" w:ascii="仿宋_GB2312" w:eastAsia="仿宋_GB2312"/>
          <w:sz w:val="32"/>
          <w:szCs w:val="32"/>
          <w:lang w:val="en-US" w:eastAsia="zh-CN"/>
        </w:rPr>
        <w:t>增长30.59</w:t>
      </w:r>
      <w:r>
        <w:rPr>
          <w:rFonts w:hint="eastAsia" w:ascii="仿宋_GB2312" w:eastAsia="仿宋_GB2312"/>
          <w:sz w:val="32"/>
          <w:szCs w:val="32"/>
        </w:rPr>
        <w:t>%。主要是</w:t>
      </w:r>
      <w:r>
        <w:rPr>
          <w:rFonts w:hint="eastAsia" w:ascii="仿宋_GB2312" w:eastAsia="仿宋_GB2312"/>
          <w:sz w:val="32"/>
          <w:szCs w:val="32"/>
          <w:lang w:val="en-US" w:eastAsia="zh-CN"/>
        </w:rPr>
        <w:t>2023年增加新招录事业人员1人，单位职业年金缴费支出相应增加。</w:t>
      </w:r>
    </w:p>
    <w:p>
      <w:pPr>
        <w:ind w:firstLine="645"/>
        <w:rPr>
          <w:rFonts w:ascii="仿宋_GB2312" w:eastAsia="仿宋_GB2312"/>
          <w:iCs/>
          <w:sz w:val="32"/>
          <w:szCs w:val="32"/>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147.05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增加0.73</w:t>
      </w:r>
      <w:r>
        <w:rPr>
          <w:rFonts w:hint="eastAsia" w:ascii="仿宋_GB2312" w:eastAsia="仿宋_GB2312"/>
          <w:sz w:val="32"/>
          <w:szCs w:val="32"/>
        </w:rPr>
        <w:t>万元，</w:t>
      </w:r>
      <w:r>
        <w:rPr>
          <w:rFonts w:hint="eastAsia" w:ascii="仿宋_GB2312" w:eastAsia="仿宋_GB2312"/>
          <w:sz w:val="32"/>
          <w:szCs w:val="32"/>
          <w:lang w:val="en-US" w:eastAsia="zh-CN"/>
        </w:rPr>
        <w:t>增长0.50</w:t>
      </w:r>
      <w:r>
        <w:rPr>
          <w:rFonts w:hint="eastAsia" w:ascii="仿宋_GB2312" w:eastAsia="仿宋_GB2312"/>
          <w:sz w:val="32"/>
          <w:szCs w:val="32"/>
        </w:rPr>
        <w:t>%。主要是</w:t>
      </w:r>
      <w:r>
        <w:rPr>
          <w:rFonts w:hint="eastAsia" w:ascii="仿宋_GB2312" w:eastAsia="仿宋_GB2312"/>
          <w:sz w:val="32"/>
          <w:szCs w:val="32"/>
          <w:lang w:val="en-US" w:eastAsia="zh-CN"/>
        </w:rPr>
        <w:t>2023年退休人员统筹外工资增加，</w:t>
      </w:r>
      <w:r>
        <w:rPr>
          <w:rFonts w:hint="eastAsia" w:ascii="仿宋_GB2312" w:eastAsia="仿宋_GB2312"/>
          <w:sz w:val="32"/>
          <w:szCs w:val="32"/>
        </w:rPr>
        <w:t>其他行政事业单位养老</w:t>
      </w:r>
      <w:r>
        <w:rPr>
          <w:rFonts w:hint="eastAsia" w:ascii="仿宋_GB2312" w:eastAsia="仿宋_GB2312"/>
          <w:sz w:val="32"/>
          <w:szCs w:val="32"/>
          <w:lang w:val="en-US" w:eastAsia="zh-CN"/>
        </w:rPr>
        <w:t>支出相应增加</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40.27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增加0.01</w:t>
      </w:r>
      <w:r>
        <w:rPr>
          <w:rFonts w:hint="eastAsia" w:ascii="仿宋_GB2312" w:eastAsia="仿宋_GB2312"/>
          <w:sz w:val="32"/>
          <w:szCs w:val="32"/>
        </w:rPr>
        <w:t>万元，</w:t>
      </w:r>
      <w:r>
        <w:rPr>
          <w:rFonts w:hint="eastAsia" w:ascii="仿宋_GB2312" w:eastAsia="仿宋_GB2312"/>
          <w:sz w:val="32"/>
          <w:szCs w:val="32"/>
          <w:lang w:val="en-US" w:eastAsia="zh-CN"/>
        </w:rPr>
        <w:t>增长0.02</w:t>
      </w:r>
      <w:r>
        <w:rPr>
          <w:rFonts w:hint="eastAsia" w:ascii="仿宋_GB2312" w:eastAsia="仿宋_GB2312"/>
          <w:sz w:val="32"/>
          <w:szCs w:val="32"/>
        </w:rPr>
        <w:t>%。主要是</w:t>
      </w:r>
      <w:r>
        <w:rPr>
          <w:rFonts w:hint="eastAsia" w:ascii="仿宋_GB2312" w:eastAsia="仿宋_GB2312"/>
          <w:sz w:val="32"/>
          <w:szCs w:val="32"/>
          <w:lang w:val="en-US" w:eastAsia="zh-CN"/>
        </w:rPr>
        <w:t>2023年行政人员工资增加，行政人员医疗基数增加，行政单位医疗保险支出相应增加</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0.60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增加0.02</w:t>
      </w:r>
      <w:r>
        <w:rPr>
          <w:rFonts w:hint="eastAsia" w:ascii="仿宋_GB2312" w:eastAsia="仿宋_GB2312"/>
          <w:sz w:val="32"/>
          <w:szCs w:val="32"/>
        </w:rPr>
        <w:t>万元，</w:t>
      </w:r>
      <w:r>
        <w:rPr>
          <w:rFonts w:hint="eastAsia" w:ascii="仿宋_GB2312" w:eastAsia="仿宋_GB2312"/>
          <w:sz w:val="32"/>
          <w:szCs w:val="32"/>
          <w:lang w:val="en-US" w:eastAsia="zh-CN"/>
        </w:rPr>
        <w:t>增长0.47</w:t>
      </w:r>
      <w:r>
        <w:rPr>
          <w:rFonts w:hint="eastAsia" w:ascii="仿宋_GB2312" w:eastAsia="仿宋_GB2312"/>
          <w:sz w:val="32"/>
          <w:szCs w:val="32"/>
        </w:rPr>
        <w:t>%。主要是</w:t>
      </w:r>
      <w:r>
        <w:rPr>
          <w:rFonts w:hint="eastAsia" w:ascii="仿宋_GB2312" w:eastAsia="仿宋_GB2312"/>
          <w:sz w:val="32"/>
          <w:szCs w:val="32"/>
          <w:lang w:val="en-US" w:eastAsia="zh-CN"/>
        </w:rPr>
        <w:t>2023年行政人员工资增加、新招录事业人员I人，行政事业人员医疗基数增加，公务员医疗补助相应增加。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8.59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增加2.16</w:t>
      </w:r>
      <w:r>
        <w:rPr>
          <w:rFonts w:hint="eastAsia" w:ascii="仿宋_GB2312" w:eastAsia="仿宋_GB2312"/>
          <w:sz w:val="32"/>
          <w:szCs w:val="32"/>
        </w:rPr>
        <w:t>万元，</w:t>
      </w:r>
      <w:r>
        <w:rPr>
          <w:rFonts w:hint="eastAsia" w:ascii="仿宋_GB2312" w:eastAsia="仿宋_GB2312"/>
          <w:sz w:val="32"/>
          <w:szCs w:val="32"/>
          <w:lang w:val="en-US" w:eastAsia="zh-CN"/>
        </w:rPr>
        <w:t>增长33.59</w:t>
      </w:r>
      <w:r>
        <w:rPr>
          <w:rFonts w:hint="eastAsia" w:ascii="仿宋_GB2312" w:eastAsia="仿宋_GB2312"/>
          <w:sz w:val="32"/>
          <w:szCs w:val="32"/>
        </w:rPr>
        <w:t>%。主要是</w:t>
      </w:r>
      <w:r>
        <w:rPr>
          <w:rFonts w:hint="eastAsia" w:ascii="仿宋_GB2312" w:eastAsia="仿宋_GB2312"/>
          <w:sz w:val="32"/>
          <w:szCs w:val="32"/>
          <w:lang w:val="en-US" w:eastAsia="zh-CN"/>
        </w:rPr>
        <w:t>2023年行政人员工资增加及新招录事业人员1人，行政事业人员住房公积金相应增加。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湟源县老干部局2023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439.33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429.16</w:t>
      </w:r>
      <w:r>
        <w:rPr>
          <w:rFonts w:hint="eastAsia" w:ascii="仿宋_GB2312" w:eastAsia="仿宋_GB2312"/>
          <w:sz w:val="32"/>
          <w:szCs w:val="32"/>
        </w:rPr>
        <w:t>万元，主要包括：</w:t>
      </w:r>
      <w:r>
        <w:rPr>
          <w:rFonts w:hint="eastAsia" w:ascii="仿宋_GB2312" w:eastAsia="仿宋_GB2312"/>
          <w:sz w:val="32"/>
          <w:szCs w:val="32"/>
          <w:lang w:val="en-US" w:eastAsia="zh-CN"/>
        </w:rPr>
        <w:t>基本工资22.59万元、津贴补贴29.75万元、奖金21.65万元、绩效工资5.86万元、机关事业单位基本养老保险缴费9.23万元、职业年金缴费4.61万元、职工基本医疗保险缴费3.51万元、公务员医疗补助缴费4.31万元、其他社会保障缴费0.15万元、住房公积金8.59万元、离休费134.50万元、退休费85.61万元、生活补助61.44万元、医疗费补助37.36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10.17</w:t>
      </w:r>
      <w:r>
        <w:rPr>
          <w:rFonts w:hint="eastAsia" w:ascii="仿宋_GB2312" w:eastAsia="仿宋_GB2312"/>
          <w:sz w:val="32"/>
          <w:szCs w:val="32"/>
        </w:rPr>
        <w:t>万元，主要包括：</w:t>
      </w:r>
      <w:r>
        <w:rPr>
          <w:rFonts w:hint="eastAsia" w:ascii="仿宋_GB2312" w:eastAsia="仿宋_GB2312"/>
          <w:sz w:val="32"/>
          <w:szCs w:val="32"/>
          <w:lang w:val="en-US" w:eastAsia="zh-CN"/>
        </w:rPr>
        <w:t>办公费0.77万元、水费0.14万元、电费0.14万元、邮电费0.56万元、取暖费0.70万元、差旅费0.63万元、公务接待费0.21万元、工会经费1.08万元、公务用车运行维护费1.00万元、其他交通费用2.52万元、其他商品和服务支出2.42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湟源县老干部局2023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0.21</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2023年“三公”经费预算较上年无变化。</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湟源县老干部局2023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湟源县老干部局2023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湟源县老干部局</w:t>
      </w:r>
      <w:r>
        <w:rPr>
          <w:rFonts w:hint="eastAsia" w:ascii="仿宋_GB2312" w:hAnsi="仿宋" w:eastAsia="仿宋_GB2312"/>
          <w:spacing w:val="-6"/>
          <w:kern w:val="2"/>
          <w:sz w:val="32"/>
          <w:szCs w:val="32"/>
          <w:lang w:val="en-US"/>
        </w:rPr>
        <w:t>机关运行经费财政拨款预算10.17万元，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预算增加0.0</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万元，增长0.39%。主要是</w:t>
      </w:r>
      <w:r>
        <w:rPr>
          <w:rFonts w:hint="eastAsia" w:ascii="仿宋_GB2312" w:eastAsia="仿宋_GB2312"/>
          <w:sz w:val="32"/>
          <w:szCs w:val="32"/>
          <w:lang w:val="en-US" w:eastAsia="zh-CN"/>
        </w:rPr>
        <w:t>2023年增加新招录事业人员，</w:t>
      </w:r>
      <w:r>
        <w:rPr>
          <w:rFonts w:hint="eastAsia" w:ascii="仿宋_GB2312" w:eastAsia="仿宋_GB2312"/>
          <w:sz w:val="32"/>
          <w:szCs w:val="32"/>
          <w:lang w:eastAsia="zh-CN"/>
        </w:rPr>
        <w:t>机关运行经费预算</w:t>
      </w:r>
      <w:r>
        <w:rPr>
          <w:rFonts w:hint="eastAsia" w:ascii="仿宋_GB2312" w:eastAsia="仿宋_GB2312"/>
          <w:sz w:val="32"/>
          <w:szCs w:val="32"/>
          <w:lang w:val="en-US" w:eastAsia="zh-CN"/>
        </w:rPr>
        <w:t>相应增加</w:t>
      </w:r>
      <w:r>
        <w:rPr>
          <w:rFonts w:hint="eastAsia" w:ascii="仿宋_GB2312" w:eastAsia="仿宋_GB2312"/>
          <w:sz w:val="32"/>
          <w:szCs w:val="32"/>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湟源县老干部局各单位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湟源县老干部局所属各预算单位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湟源县老干部局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8</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35.00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5"/>
        <w:tblW w:w="9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2"/>
        <w:gridCol w:w="922"/>
        <w:gridCol w:w="1780"/>
        <w:gridCol w:w="784"/>
        <w:gridCol w:w="740"/>
        <w:gridCol w:w="1474"/>
        <w:gridCol w:w="944"/>
        <w:gridCol w:w="94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3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0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8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4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7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4"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9"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离休老干部政治、生活待遇两项经费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5.80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以人性化管理、亲情化服务为理念，采取送教上门、集中学习、家政服务、体检、生日、生病期间慰问等形式精准高效提供服务，提高离休干部政治、生活状况，落实离休干部应享受有的政治待遇、生活待遇。</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离休生日、生病期间慰问、离休遗属慰问</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离休报刊费</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离休各项待遇落实</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提升离休干部应享受有的政治待遇、生活待遇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离休老干部满意率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退休老干部政治、生活两项待遇经费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通过关爱主题活动，让留守、困难儿童感受党和国家的温暖。 以人性化管理、亲情化服务为理念，采取送教上门、集中学习、家政服务、体检、生日、生病期间慰问等形式精准高效提供服务，提高退休干部政治、生活状况，落实退休干部享受应有的政治待遇、生活待遇。</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家政服务</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健康体检、节日慰问</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老干部关心关爱效益</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老干部满意度</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离退休、遗属元旦、春节、重阳节慰问经费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县委县、政府开展离退休干部和遗属元旦、春节、重阳节的走访慰问活动，了解离退休干部、遗属政治、生活情况，让老干部及遗属切实感受到党和政府的关心爱护。</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走访慰问活动</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送教、生活待遇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离休干部政治生活关心关爱</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离休老干部满意度</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五区两县门球邀请赛（湟源县主办）</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落实《体育强国建设纲要》、《全民健身计划纲要》，推动五区二县门球运动健康、有序发展，通过五区二县老干部、老同志门球赛事，进一步丰富老干部、老同志文化生活，带动更多老年队伍加入全民健身计划，增强身体体质，提高机能免疫力，使老年人的整体素质和生活质量提高。</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五区二县门球参赛人数</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五区二县门球参赛受益</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影响五区二县老年人运动健康</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五区二县门球参赛人员满意率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县关心下一代工作委员会开展工作经费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发挥基层关工委组织作用，通过深化“传承红色基因，争做时代新人”、加强民族团结教育、青少年法治教育、开展五老关爱行动等工作，抓好青少年思想道德教育，为青少年健康成长创造优良环境，进一步推动我县关心下一代工作创新发展。</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开展关心下一代活动</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慰问留守儿童</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关心关爱下一代社会效益</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关心下一代工作满意度</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老年人文体活动</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落实《体育强国建设纲要》、《全民健身计划纲要》，举行全县老年人文体活动比赛，进一步丰富年人文化娱乐生活，增强身体体质，提高机能免疫力，使老年人的整体素质和生活质量提高。</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参加门球赛等活动</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文化娱乐活动</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丰富年人文化娱乐生活</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离退休老干部满意度</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市关工委明德关爱基金</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通过关爱主题活动，让留守、困难儿童感受党和国家的温暖。</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明德关爱活动人数</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明德关爱活动受益社会反响</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关爱活动满意度</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离退休干部、遗属异地慰问</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异地安置离退休干部和遗属的走访慰问活动，了解离退休干部、遗属政治、生活情况，让异地安置老干部及遗属切实感受到党和政府的关心爱护.</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异地离退休干部和遗属走访走访慰问次数维稳次数</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感受到档和政府温暖</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异地离退休、遗属满意率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bl>
    <w:p>
      <w:pPr>
        <w:jc w:val="center"/>
        <w:rPr>
          <w:rFonts w:ascii="仿宋_GB2312" w:eastAsia="仿宋_GB2312"/>
          <w:b/>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行政单位离退休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反映行政单位（包括实行公务员管理的事业单位）开支的离退休经费。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（二）社会保障和就业支出（类）行政事业单位养老支出（款）离退休人员管理机构（项）：</w:t>
      </w:r>
      <w:r>
        <w:rPr>
          <w:rFonts w:hint="eastAsia" w:ascii="仿宋_GB2312" w:eastAsia="仿宋_GB2312"/>
          <w:sz w:val="32"/>
          <w:szCs w:val="32"/>
          <w:lang w:val="en-US" w:eastAsia="zh-CN"/>
        </w:rPr>
        <w:t>反映</w:t>
      </w:r>
      <w:r>
        <w:rPr>
          <w:rFonts w:hint="eastAsia" w:ascii="仿宋_GB2312" w:eastAsia="仿宋_GB2312"/>
          <w:sz w:val="32"/>
          <w:szCs w:val="32"/>
          <w:lang w:eastAsia="zh-CN"/>
        </w:rPr>
        <w:t>离退休人员管理机构的支出。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E6AD7"/>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6D7644"/>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013D4F"/>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D351F0"/>
    <w:rsid w:val="0CE83E39"/>
    <w:rsid w:val="0D10137A"/>
    <w:rsid w:val="0D103128"/>
    <w:rsid w:val="0D190642"/>
    <w:rsid w:val="0D1F15BD"/>
    <w:rsid w:val="0D244EAB"/>
    <w:rsid w:val="0D347D03"/>
    <w:rsid w:val="0D4C7ED9"/>
    <w:rsid w:val="0E0B013E"/>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BA4D88"/>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AD7005"/>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DF3F0B"/>
    <w:rsid w:val="17F65611"/>
    <w:rsid w:val="17F71F10"/>
    <w:rsid w:val="182038E0"/>
    <w:rsid w:val="185540E5"/>
    <w:rsid w:val="18602A8A"/>
    <w:rsid w:val="18694BE0"/>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DA1ACA"/>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3E483A"/>
    <w:rsid w:val="26A56376"/>
    <w:rsid w:val="26B75F6B"/>
    <w:rsid w:val="26C1503C"/>
    <w:rsid w:val="26CD6768"/>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547033"/>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2A14812"/>
    <w:rsid w:val="33223F5B"/>
    <w:rsid w:val="333C1DAF"/>
    <w:rsid w:val="33420075"/>
    <w:rsid w:val="33705886"/>
    <w:rsid w:val="337E22EA"/>
    <w:rsid w:val="33A4500D"/>
    <w:rsid w:val="33F15215"/>
    <w:rsid w:val="341669C7"/>
    <w:rsid w:val="34221BAB"/>
    <w:rsid w:val="342310E4"/>
    <w:rsid w:val="342804A8"/>
    <w:rsid w:val="34574ACF"/>
    <w:rsid w:val="34666500"/>
    <w:rsid w:val="34671256"/>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4F5676"/>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4B3769"/>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520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5B0125"/>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8243D"/>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BA4415"/>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0454C0"/>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customStyle="1" w:styleId="11">
    <w:name w:val="List Paragraph"/>
    <w:basedOn w:val="1"/>
    <w:qFormat/>
    <w:uiPriority w:val="34"/>
    <w:pPr>
      <w:ind w:firstLine="420" w:firstLineChars="200"/>
    </w:pPr>
  </w:style>
  <w:style w:type="paragraph" w:customStyle="1"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8015</Words>
  <Characters>9407</Characters>
  <Lines>43</Lines>
  <Paragraphs>12</Paragraphs>
  <TotalTime>8</TotalTime>
  <ScaleCrop>false</ScaleCrop>
  <LinksUpToDate>false</LinksUpToDate>
  <CharactersWithSpaces>9520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2023-06-07T07:56:29Z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4AB18C4CC9C9449388BCE560BD153063_13</vt:lpwstr>
  </property>
</Properties>
</file>