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湟源县农村公路养护中心</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负责养护</w:t>
      </w:r>
      <w:r>
        <w:rPr>
          <w:rFonts w:hint="eastAsia" w:ascii="仿宋_GB2312" w:eastAsia="仿宋_GB2312"/>
          <w:sz w:val="32"/>
          <w:szCs w:val="32"/>
          <w:lang w:eastAsia="zh-CN"/>
        </w:rPr>
        <w:t>中心</w:t>
      </w:r>
      <w:r>
        <w:rPr>
          <w:rFonts w:hint="eastAsia" w:ascii="仿宋_GB2312" w:eastAsia="仿宋_GB2312"/>
          <w:sz w:val="32"/>
          <w:szCs w:val="32"/>
        </w:rPr>
        <w:t>日常管理工作；负责会议安排、报告、综合性文稿的起草；负责文秘、政务信息公开、档案信访、保密等工作；负责单位机构、编制、人事管理工作；负责对外宣传、依法行政工作和领导交办的其他工作。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宣传、贯彻、执行《公路法》和国家有关农村公路建设、养护、管理方面的方针、政策和法律法规，负责《中华人民共和国公路管理条例》及该《细则》的实施。</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对全县农村公路建设、养护和管理进行规划和业务指导。</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协助县交通运输局做好编制全区农村公路建设、养护计划并组织实施。</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根据交通运输局的授权，按照《公路法》和《公路管理条例》对农村公路实施路政管理，维护路产路权，规范、审批公路两侧各种构造物和广告宣传等设施，管理在农村公路上行驶车辆的超限运输工作，维护公路养护施工的正常秩序。</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组织农村公路现代化养护、管理技术的研究和开发，负责交通情况调查和路况登记，培训农村公路专业人员，改善技术装备，交流先进经验，提高公路管理水平。</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调查研究和统计上报农村公路建管养情况。</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eastAsia="仿宋_GB2312"/>
          <w:sz w:val="32"/>
          <w:szCs w:val="32"/>
        </w:rPr>
        <w:t>承办交通运输局交办的其他工作。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2023年度编制范围包括预算单位1个，其中二级预算单位1个，内设主任1个，下设中心办公室，财务室，技术室等，机构当年无变化。</w:t>
      </w:r>
    </w:p>
    <w:p>
      <w:pPr>
        <w:adjustRightInd w:val="0"/>
        <w:snapToGrid w:val="0"/>
        <w:spacing w:line="560" w:lineRule="exact"/>
        <w:ind w:firstLine="640" w:firstLineChars="200"/>
        <w:rPr>
          <w:rFonts w:hint="eastAsia" w:ascii="黑体" w:hAnsi="宋体" w:eastAsia="黑体"/>
          <w:strike w:val="0"/>
          <w:dstrike w:val="0"/>
          <w:color w:val="000000"/>
          <w:sz w:val="32"/>
          <w:szCs w:val="32"/>
          <w:u w:color="FFFFFF" w:themeColor="background1"/>
        </w:rPr>
      </w:pPr>
      <w:r>
        <w:rPr>
          <w:rFonts w:hint="eastAsia" w:ascii="黑体" w:hAnsi="宋体" w:eastAsia="黑体"/>
          <w:strike w:val="0"/>
          <w:dstrike w:val="0"/>
          <w:color w:val="000000"/>
          <w:sz w:val="32"/>
          <w:szCs w:val="32"/>
          <w:u w:color="FFFFFF" w:themeColor="background1"/>
          <w:lang w:eastAsia="zh-CN"/>
        </w:rPr>
        <w:t>三</w:t>
      </w:r>
      <w:r>
        <w:rPr>
          <w:rFonts w:hint="eastAsia" w:ascii="黑体" w:hAnsi="宋体" w:eastAsia="黑体"/>
          <w:strike w:val="0"/>
          <w:dstrike w:val="0"/>
          <w:color w:val="000000"/>
          <w:sz w:val="32"/>
          <w:szCs w:val="32"/>
          <w:u w:color="FFFFFF" w:themeColor="background1"/>
        </w:rPr>
        <w:t>、</w:t>
      </w:r>
      <w:r>
        <w:rPr>
          <w:rFonts w:hint="eastAsia" w:ascii="黑体" w:hAnsi="宋体" w:eastAsia="黑体"/>
          <w:strike w:val="0"/>
          <w:dstrike w:val="0"/>
          <w:color w:val="000000"/>
          <w:sz w:val="32"/>
          <w:szCs w:val="32"/>
          <w:u w:color="FFFFFF" w:themeColor="background1"/>
          <w:lang w:eastAsia="zh-CN"/>
        </w:rPr>
        <w:t>部门</w:t>
      </w:r>
      <w:r>
        <w:rPr>
          <w:rFonts w:hint="eastAsia" w:ascii="黑体" w:hAnsi="宋体" w:eastAsia="黑体"/>
          <w:strike w:val="0"/>
          <w:dstrike w:val="0"/>
          <w:color w:val="000000"/>
          <w:sz w:val="32"/>
          <w:szCs w:val="32"/>
          <w:u w:color="FFFFFF" w:themeColor="background1"/>
        </w:rPr>
        <w:t>预算</w:t>
      </w:r>
      <w:r>
        <w:rPr>
          <w:rFonts w:hint="eastAsia" w:ascii="黑体" w:hAnsi="宋体" w:eastAsia="黑体"/>
          <w:strike w:val="0"/>
          <w:dstrike w:val="0"/>
          <w:color w:val="000000"/>
          <w:sz w:val="32"/>
          <w:szCs w:val="32"/>
          <w:u w:color="FFFFFF" w:themeColor="background1"/>
          <w:lang w:eastAsia="zh-CN"/>
        </w:rPr>
        <w:t>部门</w:t>
      </w:r>
      <w:r>
        <w:rPr>
          <w:rFonts w:hint="eastAsia" w:ascii="黑体" w:hAnsi="宋体" w:eastAsia="黑体"/>
          <w:strike w:val="0"/>
          <w:dstrike w:val="0"/>
          <w:color w:val="000000"/>
          <w:sz w:val="32"/>
          <w:szCs w:val="32"/>
          <w:u w:color="FFFFFF" w:themeColor="background1"/>
        </w:rPr>
        <w:t>构成</w:t>
      </w:r>
    </w:p>
    <w:p>
      <w:pPr>
        <w:ind w:firstLine="640" w:firstLineChars="200"/>
        <w:rPr>
          <w:rFonts w:hint="eastAsia" w:ascii="仿宋_GB2312" w:eastAsia="仿宋_GB2312"/>
          <w:sz w:val="32"/>
          <w:szCs w:val="32"/>
          <w:u w:val="single"/>
        </w:rPr>
      </w:pPr>
      <w:r>
        <w:rPr>
          <w:rFonts w:hint="eastAsia" w:ascii="仿宋_GB2312" w:eastAsia="仿宋_GB2312"/>
          <w:sz w:val="32"/>
          <w:szCs w:val="32"/>
          <w:lang w:val="en-US" w:eastAsia="zh-CN"/>
        </w:rPr>
        <w:t>纳入湟源县农村公路养护中心2023年预算编制范围的预算单位包括：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vAlign w:val="top"/>
          </w:tcPr>
          <w:p>
            <w:pPr>
              <w:jc w:val="center"/>
              <w:rPr>
                <w:rFonts w:hint="eastAsia"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1284.01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105.20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52.74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1360.61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39.80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1284.01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1558.34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274.33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1558.34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1558.34</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512" w:type="dxa"/>
        <w:jc w:val="center"/>
        <w:tblLayout w:type="fixed"/>
        <w:tblCellMar>
          <w:top w:w="0" w:type="dxa"/>
          <w:left w:w="108" w:type="dxa"/>
          <w:bottom w:w="0" w:type="dxa"/>
          <w:right w:w="108" w:type="dxa"/>
        </w:tblCellMar>
      </w:tblPr>
      <w:tblGrid>
        <w:gridCol w:w="959"/>
        <w:gridCol w:w="959"/>
        <w:gridCol w:w="959"/>
        <w:gridCol w:w="959"/>
        <w:gridCol w:w="959"/>
        <w:gridCol w:w="959"/>
        <w:gridCol w:w="959"/>
        <w:gridCol w:w="959"/>
        <w:gridCol w:w="959"/>
        <w:gridCol w:w="959"/>
        <w:gridCol w:w="959"/>
        <w:gridCol w:w="963"/>
      </w:tblGrid>
      <w:tr>
        <w:tblPrEx>
          <w:tblCellMar>
            <w:top w:w="0" w:type="dxa"/>
            <w:left w:w="108" w:type="dxa"/>
            <w:bottom w:w="0" w:type="dxa"/>
            <w:right w:w="108" w:type="dxa"/>
          </w:tblCellMar>
        </w:tblPrEx>
        <w:trPr>
          <w:trHeight w:val="392" w:hRule="atLeast"/>
          <w:jc w:val="center"/>
        </w:trPr>
        <w:tc>
          <w:tcPr>
            <w:tcW w:w="1151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1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1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bookmarkStart w:id="6" w:name="_GoBack" w:colFirst="0" w:colLast="11"/>
            <w:r>
              <w:rPr>
                <w:rFonts w:hint="eastAsia" w:ascii="宋体" w:hAnsi="宋体" w:cs="宋体"/>
                <w:b/>
                <w:bCs/>
                <w:color w:val="000000"/>
                <w:kern w:val="0"/>
                <w:sz w:val="22"/>
                <w:szCs w:val="22"/>
                <w:lang w:val="en-US" w:eastAsia="zh-CN"/>
              </w:rPr>
              <w:t>预算部门</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1558.34</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274.33</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1284.01</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湟源县交通运输局</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1558.34</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274.33</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1284.01</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湟源县农村公路养护中心</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1558.34</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274.33</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1284.01</w:t>
            </w: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bookmarkEnd w:id="6"/>
    </w:tbl>
    <w:p>
      <w:pPr>
        <w:rPr>
          <w:rFonts w:hint="eastAsia" w:ascii="仿宋_GB2312" w:eastAsia="仿宋_GB2312"/>
          <w:sz w:val="32"/>
          <w:szCs w:val="32"/>
        </w:rPr>
      </w:pPr>
      <w:r>
        <w:rPr>
          <w:rFonts w:hint="eastAsia" w:ascii="仿宋_GB2312" w:eastAsia="仿宋_GB2312"/>
          <w:sz w:val="32"/>
          <w:szCs w:val="32"/>
        </w:rPr>
        <w:br w:type="page"/>
      </w:r>
    </w:p>
    <w:tbl>
      <w:tblPr>
        <w:tblStyle w:val="6"/>
        <w:tblW w:w="11385" w:type="dxa"/>
        <w:jc w:val="center"/>
        <w:tblLayout w:type="fixed"/>
        <w:tblCellMar>
          <w:top w:w="0" w:type="dxa"/>
          <w:left w:w="108" w:type="dxa"/>
          <w:bottom w:w="0" w:type="dxa"/>
          <w:right w:w="108" w:type="dxa"/>
        </w:tblCellMar>
      </w:tblPr>
      <w:tblGrid>
        <w:gridCol w:w="1100"/>
        <w:gridCol w:w="3853"/>
        <w:gridCol w:w="1072"/>
        <w:gridCol w:w="1072"/>
        <w:gridCol w:w="1072"/>
        <w:gridCol w:w="1072"/>
        <w:gridCol w:w="1072"/>
        <w:gridCol w:w="1072"/>
      </w:tblGrid>
      <w:tr>
        <w:tblPrEx>
          <w:tblCellMar>
            <w:top w:w="0" w:type="dxa"/>
            <w:left w:w="108" w:type="dxa"/>
            <w:bottom w:w="0" w:type="dxa"/>
            <w:right w:w="108" w:type="dxa"/>
          </w:tblCellMar>
        </w:tblPrEx>
        <w:trPr>
          <w:trHeight w:val="187" w:hRule="atLeast"/>
          <w:jc w:val="center"/>
        </w:trPr>
        <w:tc>
          <w:tcPr>
            <w:tcW w:w="1138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8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8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5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1558.34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553.82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1004.52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105.20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105.20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103.47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103.47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42.32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42.32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52.74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52.74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52.74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52.74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26.07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26.07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19.67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19.67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交通运输支出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1360.61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356.09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1004.52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21401</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公路水路运输</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1360.61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356.09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1004.52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2140106</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公路养护</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1360.61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356.09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1004.52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1084"/>
        <w:gridCol w:w="1751"/>
        <w:gridCol w:w="1358"/>
        <w:gridCol w:w="135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7"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7"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7"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1"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906"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5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5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44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1284.01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1558.34</w:t>
            </w: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1558.34</w:t>
            </w: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1284.01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105.20</w:t>
            </w: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105.20</w:t>
            </w: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52.74</w:t>
            </w: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52.74</w:t>
            </w: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1360.61</w:t>
            </w: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1360.61</w:t>
            </w: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39.80</w:t>
            </w: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39.80</w:t>
            </w: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274.33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274.33</w:t>
            </w:r>
          </w:p>
        </w:tc>
        <w:tc>
          <w:tcPr>
            <w:tcW w:w="1751" w:type="dxa"/>
            <w:shd w:val="clear" w:color="auto" w:fill="FFFFFF"/>
            <w:noWrap/>
            <w:vAlign w:val="center"/>
          </w:tcPr>
          <w:p>
            <w:pPr>
              <w:widowControl/>
              <w:jc w:val="left"/>
              <w:rPr>
                <w:rFonts w:ascii="宋体" w:hAnsi="宋体" w:cs="宋体"/>
                <w:kern w:val="0"/>
                <w:sz w:val="20"/>
              </w:rPr>
            </w:pP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1558.34</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1558.34</w:t>
            </w:r>
          </w:p>
        </w:tc>
        <w:tc>
          <w:tcPr>
            <w:tcW w:w="13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1558.34</w:t>
            </w:r>
          </w:p>
        </w:tc>
        <w:tc>
          <w:tcPr>
            <w:tcW w:w="1442"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96"/>
        <w:gridCol w:w="1421"/>
        <w:gridCol w:w="1421"/>
        <w:gridCol w:w="142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4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6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9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2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2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4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1284.01</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553.82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730.19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105.20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105.20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103.47</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103.47</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42.32</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42.32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21.16</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21.16</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39.99</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39.99</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52.74</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52.74</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52.74</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52.74</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26.07</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26.07</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19.67</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19.67</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交通运输支出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1086.28</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356.09</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730.19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公路水路运输</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1086.28</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356.09</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730.19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公路养护</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1086.28</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356.09</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730.19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39.80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39.80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39.80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39.80</w:t>
            </w:r>
          </w:p>
        </w:tc>
        <w:tc>
          <w:tcPr>
            <w:tcW w:w="14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863"/>
        <w:gridCol w:w="2360"/>
        <w:gridCol w:w="2360"/>
        <w:gridCol w:w="236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6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6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553.82</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540.06</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13.77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483.01</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483.01</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96.61</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96.61</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98.97</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98.97</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146.74</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146.74</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42.32</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42.32</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21.16</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21.16</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16.01</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16.01</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19.67</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19.67</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39.80</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39.80</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13.77</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13.77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0.72</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0.96</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4.93</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57.05</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57.05</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36.89</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36.89</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退职（役）费</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3.09</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3.09</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17.06</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17.06</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基础设施建设</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其他资本性支出</w:t>
            </w: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2"/>
        <w:gridCol w:w="965"/>
        <w:gridCol w:w="965"/>
        <w:gridCol w:w="965"/>
        <w:gridCol w:w="965"/>
        <w:gridCol w:w="965"/>
        <w:gridCol w:w="965"/>
        <w:gridCol w:w="965"/>
        <w:gridCol w:w="965"/>
        <w:gridCol w:w="96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22"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2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22"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52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696"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4"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83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7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34" w:type="dxa"/>
            <w:vMerge w:val="continue"/>
            <w:noWrap w:val="0"/>
            <w:vAlign w:val="center"/>
          </w:tcPr>
          <w:p>
            <w:pPr>
              <w:widowControl/>
              <w:jc w:val="left"/>
              <w:rPr>
                <w:rFonts w:ascii="宋体" w:hAnsi="宋体" w:cs="宋体"/>
                <w:b/>
                <w:bCs/>
                <w:color w:val="000000"/>
                <w:kern w:val="0"/>
                <w:sz w:val="22"/>
                <w:szCs w:val="22"/>
              </w:rPr>
            </w:pPr>
          </w:p>
        </w:tc>
        <w:tc>
          <w:tcPr>
            <w:tcW w:w="832"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71"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34"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1.28</w:t>
            </w:r>
          </w:p>
        </w:tc>
        <w:tc>
          <w:tcPr>
            <w:tcW w:w="832"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0.48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1.28</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c>
          <w:tcPr>
            <w:tcW w:w="871"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0.48</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湟源县农村公路养护中心2023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湟源县农村公路养护中心</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一般公共预算拨款收入1284.01万元，上年结转274.33万元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社会保障和就业支出105.20万元，卫生健康支出52.74万元，交通运输支出1360.61万元，住房保障支出39.80万元</w:t>
      </w:r>
      <w:r>
        <w:rPr>
          <w:rFonts w:hint="eastAsia" w:ascii="仿宋_GB2312" w:eastAsia="仿宋_GB2312"/>
          <w:sz w:val="32"/>
          <w:szCs w:val="32"/>
        </w:rPr>
        <w:t>。</w:t>
      </w: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年收支总预算</w:t>
      </w:r>
      <w:r>
        <w:rPr>
          <w:rFonts w:hint="eastAsia" w:ascii="仿宋_GB2312" w:eastAsia="仿宋_GB2312"/>
          <w:sz w:val="32"/>
          <w:szCs w:val="32"/>
          <w:lang w:val="en-US" w:eastAsia="zh-CN"/>
        </w:rPr>
        <w:t>1558.34</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湟源县农村公路养护中心2023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年收入预算</w:t>
      </w:r>
      <w:r>
        <w:rPr>
          <w:rFonts w:hint="eastAsia" w:ascii="仿宋_GB2312" w:eastAsia="仿宋_GB2312"/>
          <w:sz w:val="32"/>
          <w:szCs w:val="32"/>
          <w:lang w:val="en-US" w:eastAsia="zh-CN"/>
        </w:rPr>
        <w:t>1558.34</w:t>
      </w:r>
      <w:r>
        <w:rPr>
          <w:rFonts w:hint="eastAsia" w:ascii="仿宋_GB2312" w:eastAsia="仿宋_GB2312"/>
          <w:sz w:val="32"/>
          <w:szCs w:val="32"/>
        </w:rPr>
        <w:t>万元，其中：</w:t>
      </w:r>
      <w:r>
        <w:rPr>
          <w:rFonts w:hint="eastAsia" w:ascii="仿宋_GB2312" w:eastAsia="仿宋_GB2312"/>
          <w:sz w:val="32"/>
          <w:szCs w:val="32"/>
          <w:lang w:val="en-US" w:eastAsia="zh-CN"/>
        </w:rPr>
        <w:t>上年结转274.33万元，占17.60%；一般公共预算拨款收入1284.01万元，占82.40%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2.4pt;width:353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湟源县农村公路养护中心2023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年支出预算</w:t>
      </w:r>
      <w:r>
        <w:rPr>
          <w:rFonts w:hint="eastAsia" w:ascii="仿宋_GB2312" w:eastAsia="仿宋_GB2312"/>
          <w:sz w:val="32"/>
          <w:szCs w:val="32"/>
          <w:lang w:val="en-US" w:eastAsia="zh-CN"/>
        </w:rPr>
        <w:t>1558.34</w:t>
      </w:r>
      <w:r>
        <w:rPr>
          <w:rFonts w:hint="eastAsia" w:ascii="仿宋_GB2312" w:eastAsia="仿宋_GB2312"/>
          <w:sz w:val="32"/>
          <w:szCs w:val="32"/>
        </w:rPr>
        <w:t>万元，其中：</w:t>
      </w:r>
      <w:r>
        <w:rPr>
          <w:rFonts w:hint="eastAsia" w:ascii="仿宋_GB2312" w:eastAsia="仿宋_GB2312"/>
          <w:sz w:val="32"/>
          <w:szCs w:val="32"/>
          <w:lang w:val="en-US" w:eastAsia="zh-CN"/>
        </w:rPr>
        <w:t>基本支出553.82万元，占35.54%；项目支出1004.52万元，占64.46%</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1pt;width:350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湟源县农村公路养护中心2023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1558.34</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增加658.62</w:t>
      </w:r>
      <w:r>
        <w:rPr>
          <w:rFonts w:hint="eastAsia" w:ascii="仿宋_GB2312" w:eastAsia="仿宋_GB2312"/>
          <w:sz w:val="32"/>
          <w:szCs w:val="32"/>
        </w:rPr>
        <w:t>万元，主要</w:t>
      </w:r>
      <w:r>
        <w:rPr>
          <w:rFonts w:hint="eastAsia" w:ascii="仿宋_GB2312" w:eastAsia="仿宋_GB2312"/>
          <w:sz w:val="32"/>
          <w:szCs w:val="32"/>
          <w:lang w:eastAsia="zh-CN"/>
        </w:rPr>
        <w:t>原因是：项目增加，人员增加，工资增加，社保基数上调以及上年资金结余</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一般公共预算拨款收入1284.01万元，上年结转274.33万元；政府性基金预算拨款收入0.00万元，上年结转0.00万元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社会保障和就业支出105.20万元， 卫生健康支出52.74万元， 交通运输支出1360.61万元， 住房保障支出39.80万元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1.65pt;width:351.4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湟源县农村公路养护中心2023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1284.01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增加509.29</w:t>
      </w:r>
      <w:r>
        <w:rPr>
          <w:rFonts w:hint="eastAsia" w:ascii="仿宋_GB2312" w:eastAsia="仿宋_GB2312"/>
          <w:sz w:val="32"/>
          <w:szCs w:val="32"/>
        </w:rPr>
        <w:t>万元，主要</w:t>
      </w:r>
      <w:r>
        <w:rPr>
          <w:rFonts w:hint="eastAsia" w:ascii="仿宋_GB2312" w:eastAsia="仿宋_GB2312"/>
          <w:sz w:val="32"/>
          <w:szCs w:val="32"/>
          <w:lang w:eastAsia="zh-CN"/>
        </w:rPr>
        <w:t>原因是：项目增加，人员增加，工资增加，社保基数上调以及上年资金结余</w:t>
      </w:r>
      <w:r>
        <w:rPr>
          <w:rFonts w:hint="eastAsia" w:ascii="仿宋_GB2312" w:eastAsia="仿宋_GB2312"/>
          <w:sz w:val="32"/>
          <w:szCs w:val="32"/>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drawing>
          <wp:inline distT="0" distB="0" distL="114300" distR="114300">
            <wp:extent cx="4450715" cy="152209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0"/>
                    <a:stretch>
                      <a:fillRect/>
                    </a:stretch>
                  </pic:blipFill>
                  <pic:spPr>
                    <a:xfrm>
                      <a:off x="0" y="0"/>
                      <a:ext cx="4450715" cy="1522095"/>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社会保障和就业支出105.20万元，占8.19%；卫生健康支出52.74万元，占4.11%；交通运输支出1086.28万元，占84.60%；住房保障支出39.80万元，占3.10%</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210050" cy="193675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1"/>
                    <a:stretch>
                      <a:fillRect/>
                    </a:stretch>
                  </pic:blipFill>
                  <pic:spPr>
                    <a:xfrm>
                      <a:off x="0" y="0"/>
                      <a:ext cx="4210050" cy="1936750"/>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42.32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增加10.61</w:t>
      </w:r>
      <w:r>
        <w:rPr>
          <w:rFonts w:hint="eastAsia" w:ascii="仿宋_GB2312" w:eastAsia="仿宋_GB2312"/>
          <w:sz w:val="32"/>
          <w:szCs w:val="32"/>
        </w:rPr>
        <w:t>万元，</w:t>
      </w:r>
      <w:r>
        <w:rPr>
          <w:rFonts w:hint="eastAsia" w:ascii="仿宋_GB2312" w:eastAsia="仿宋_GB2312"/>
          <w:sz w:val="32"/>
          <w:szCs w:val="32"/>
          <w:lang w:val="en-US" w:eastAsia="zh-CN"/>
        </w:rPr>
        <w:t>增长33.46</w:t>
      </w:r>
      <w:r>
        <w:rPr>
          <w:rFonts w:hint="eastAsia" w:ascii="仿宋_GB2312" w:eastAsia="仿宋_GB2312"/>
          <w:sz w:val="32"/>
          <w:szCs w:val="32"/>
        </w:rPr>
        <w:t>%。主要</w:t>
      </w:r>
      <w:r>
        <w:rPr>
          <w:rFonts w:hint="eastAsia" w:ascii="仿宋_GB2312" w:eastAsia="仿宋_GB2312"/>
          <w:sz w:val="32"/>
          <w:szCs w:val="32"/>
          <w:lang w:eastAsia="zh-CN"/>
        </w:rPr>
        <w:t>原因是：项目增加，人员增加，工资增加，社保基数上调以及上年资金结余</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21.16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增加5.31</w:t>
      </w:r>
      <w:r>
        <w:rPr>
          <w:rFonts w:hint="eastAsia" w:ascii="仿宋_GB2312" w:eastAsia="仿宋_GB2312"/>
          <w:sz w:val="32"/>
          <w:szCs w:val="32"/>
        </w:rPr>
        <w:t>万元，</w:t>
      </w:r>
      <w:r>
        <w:rPr>
          <w:rFonts w:hint="eastAsia" w:ascii="仿宋_GB2312" w:eastAsia="仿宋_GB2312"/>
          <w:sz w:val="32"/>
          <w:szCs w:val="32"/>
          <w:lang w:val="en-US" w:eastAsia="zh-CN"/>
        </w:rPr>
        <w:t>增长33.50</w:t>
      </w:r>
      <w:r>
        <w:rPr>
          <w:rFonts w:hint="eastAsia" w:ascii="仿宋_GB2312" w:eastAsia="仿宋_GB2312"/>
          <w:sz w:val="32"/>
          <w:szCs w:val="32"/>
        </w:rPr>
        <w:t>%。</w:t>
      </w:r>
      <w:r>
        <w:rPr>
          <w:rFonts w:hint="eastAsia" w:ascii="仿宋_GB2312" w:eastAsia="仿宋_GB2312"/>
          <w:sz w:val="32"/>
          <w:szCs w:val="32"/>
          <w:lang w:eastAsia="zh-CN"/>
        </w:rPr>
        <w:t>主要原因是：人员增加及社保基数上调，职业年金缴费额增加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39.99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增加8.67</w:t>
      </w:r>
      <w:r>
        <w:rPr>
          <w:rFonts w:hint="eastAsia" w:ascii="仿宋_GB2312" w:eastAsia="仿宋_GB2312"/>
          <w:sz w:val="32"/>
          <w:szCs w:val="32"/>
        </w:rPr>
        <w:t>万元，</w:t>
      </w:r>
      <w:r>
        <w:rPr>
          <w:rFonts w:hint="eastAsia" w:ascii="仿宋_GB2312" w:eastAsia="仿宋_GB2312"/>
          <w:sz w:val="32"/>
          <w:szCs w:val="32"/>
          <w:lang w:val="en-US" w:eastAsia="zh-CN"/>
        </w:rPr>
        <w:t>增长27.68</w:t>
      </w:r>
      <w:r>
        <w:rPr>
          <w:rFonts w:hint="eastAsia" w:ascii="仿宋_GB2312" w:eastAsia="仿宋_GB2312"/>
          <w:sz w:val="32"/>
          <w:szCs w:val="32"/>
        </w:rPr>
        <w:t>%。</w:t>
      </w:r>
      <w:r>
        <w:rPr>
          <w:rFonts w:hint="eastAsia" w:ascii="仿宋_GB2312" w:eastAsia="仿宋_GB2312"/>
          <w:sz w:val="32"/>
          <w:szCs w:val="32"/>
          <w:lang w:eastAsia="zh-CN"/>
        </w:rPr>
        <w:t>主要原因是：人员增加及社保基数上调，养老保险缴费额增加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增加0.02</w:t>
      </w:r>
      <w:r>
        <w:rPr>
          <w:rFonts w:hint="eastAsia" w:ascii="仿宋_GB2312" w:eastAsia="仿宋_GB2312"/>
          <w:sz w:val="32"/>
          <w:szCs w:val="32"/>
        </w:rPr>
        <w:t>万元，</w:t>
      </w:r>
      <w:r>
        <w:rPr>
          <w:rFonts w:hint="eastAsia" w:ascii="仿宋_GB2312" w:eastAsia="仿宋_GB2312"/>
          <w:sz w:val="32"/>
          <w:szCs w:val="32"/>
          <w:lang w:val="en-US" w:eastAsia="zh-CN"/>
        </w:rPr>
        <w:t>增长1.18</w:t>
      </w:r>
      <w:r>
        <w:rPr>
          <w:rFonts w:hint="eastAsia" w:ascii="仿宋_GB2312" w:eastAsia="仿宋_GB2312"/>
          <w:sz w:val="32"/>
          <w:szCs w:val="32"/>
        </w:rPr>
        <w:t>%。</w:t>
      </w:r>
      <w:r>
        <w:rPr>
          <w:rFonts w:hint="eastAsia" w:ascii="仿宋_GB2312" w:eastAsia="仿宋_GB2312"/>
          <w:sz w:val="32"/>
          <w:szCs w:val="32"/>
          <w:lang w:eastAsia="zh-CN"/>
        </w:rPr>
        <w:t>主要原因是：人员增加及社保基数上调，其他社会保障和就业支出缴费额增加。</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w:t>
      </w:r>
      <w:r>
        <w:rPr>
          <w:rFonts w:hint="eastAsia" w:ascii="仿宋_GB2312" w:eastAsia="仿宋_GB2312"/>
          <w:sz w:val="32"/>
          <w:szCs w:val="32"/>
          <w:lang w:eastAsia="zh-CN"/>
        </w:rPr>
        <w:t>原因</w:t>
      </w:r>
      <w:r>
        <w:rPr>
          <w:rFonts w:hint="eastAsia" w:ascii="仿宋_GB2312" w:eastAsia="仿宋_GB2312"/>
          <w:sz w:val="32"/>
          <w:szCs w:val="32"/>
        </w:rPr>
        <w:t>是</w:t>
      </w:r>
      <w:r>
        <w:rPr>
          <w:rFonts w:hint="eastAsia" w:ascii="仿宋_GB2312" w:eastAsia="仿宋_GB2312"/>
          <w:sz w:val="32"/>
          <w:szCs w:val="32"/>
          <w:lang w:eastAsia="zh-CN"/>
        </w:rPr>
        <w:t>：退休人员增加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26.07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减少0.66</w:t>
      </w:r>
      <w:r>
        <w:rPr>
          <w:rFonts w:hint="eastAsia" w:ascii="仿宋_GB2312" w:eastAsia="仿宋_GB2312"/>
          <w:sz w:val="32"/>
          <w:szCs w:val="32"/>
        </w:rPr>
        <w:t>万元，</w:t>
      </w:r>
      <w:r>
        <w:rPr>
          <w:rFonts w:hint="eastAsia" w:ascii="仿宋_GB2312" w:eastAsia="仿宋_GB2312"/>
          <w:sz w:val="32"/>
          <w:szCs w:val="32"/>
          <w:lang w:val="en-US" w:eastAsia="zh-CN"/>
        </w:rPr>
        <w:t>下降2.47</w:t>
      </w:r>
      <w:r>
        <w:rPr>
          <w:rFonts w:hint="eastAsia" w:ascii="仿宋_GB2312" w:eastAsia="仿宋_GB2312"/>
          <w:sz w:val="32"/>
          <w:szCs w:val="32"/>
        </w:rPr>
        <w:t>%。主要</w:t>
      </w:r>
      <w:r>
        <w:rPr>
          <w:rFonts w:hint="eastAsia" w:ascii="仿宋_GB2312" w:eastAsia="仿宋_GB2312"/>
          <w:sz w:val="32"/>
          <w:szCs w:val="32"/>
          <w:lang w:eastAsia="zh-CN"/>
        </w:rPr>
        <w:t>原因是：临聘人员减少，导致医疗减少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19.67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增加0.29</w:t>
      </w:r>
      <w:r>
        <w:rPr>
          <w:rFonts w:hint="eastAsia" w:ascii="仿宋_GB2312" w:eastAsia="仿宋_GB2312"/>
          <w:sz w:val="32"/>
          <w:szCs w:val="32"/>
        </w:rPr>
        <w:t>万元，</w:t>
      </w:r>
      <w:r>
        <w:rPr>
          <w:rFonts w:hint="eastAsia" w:ascii="仿宋_GB2312" w:eastAsia="仿宋_GB2312"/>
          <w:sz w:val="32"/>
          <w:szCs w:val="32"/>
          <w:lang w:val="en-US" w:eastAsia="zh-CN"/>
        </w:rPr>
        <w:t>增长1.50</w:t>
      </w:r>
      <w:r>
        <w:rPr>
          <w:rFonts w:hint="eastAsia" w:ascii="仿宋_GB2312" w:eastAsia="仿宋_GB2312"/>
          <w:sz w:val="32"/>
          <w:szCs w:val="32"/>
        </w:rPr>
        <w:t>%。主要</w:t>
      </w:r>
      <w:r>
        <w:rPr>
          <w:rFonts w:hint="eastAsia" w:ascii="仿宋_GB2312" w:eastAsia="仿宋_GB2312"/>
          <w:sz w:val="32"/>
          <w:szCs w:val="32"/>
          <w:lang w:eastAsia="zh-CN"/>
        </w:rPr>
        <w:t>原因</w:t>
      </w:r>
      <w:r>
        <w:rPr>
          <w:rFonts w:hint="eastAsia" w:ascii="仿宋_GB2312" w:eastAsia="仿宋_GB2312"/>
          <w:sz w:val="32"/>
          <w:szCs w:val="32"/>
        </w:rPr>
        <w:t>是</w:t>
      </w:r>
      <w:r>
        <w:rPr>
          <w:rFonts w:hint="eastAsia" w:ascii="仿宋_GB2312" w:eastAsia="仿宋_GB2312"/>
          <w:sz w:val="32"/>
          <w:szCs w:val="32"/>
          <w:lang w:eastAsia="zh-CN"/>
        </w:rPr>
        <w:t>：</w:t>
      </w:r>
      <w:r>
        <w:rPr>
          <w:rFonts w:hint="eastAsia" w:ascii="仿宋_GB2312" w:eastAsia="仿宋_GB2312"/>
          <w:sz w:val="32"/>
          <w:szCs w:val="32"/>
          <w:lang w:val="en-US" w:eastAsia="zh-CN"/>
        </w:rPr>
        <w:t>在职人员增加及</w:t>
      </w:r>
      <w:r>
        <w:rPr>
          <w:rFonts w:hint="eastAsia" w:ascii="仿宋_GB2312" w:eastAsia="仿宋_GB2312"/>
          <w:sz w:val="32"/>
          <w:szCs w:val="32"/>
          <w:lang w:eastAsia="zh-CN"/>
        </w:rPr>
        <w:t>医疗基数上调，医疗缴费额增加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交通运输支出</w:t>
      </w:r>
      <w:r>
        <w:rPr>
          <w:rFonts w:hint="eastAsia" w:ascii="仿宋_GB2312" w:eastAsia="仿宋_GB2312"/>
          <w:sz w:val="32"/>
          <w:szCs w:val="32"/>
        </w:rPr>
        <w:t>（类）</w:t>
      </w:r>
      <w:r>
        <w:rPr>
          <w:rFonts w:hint="eastAsia" w:ascii="仿宋_GB2312" w:eastAsia="仿宋_GB2312"/>
          <w:sz w:val="32"/>
          <w:szCs w:val="32"/>
          <w:lang w:val="en-US" w:eastAsia="zh-CN"/>
        </w:rPr>
        <w:t>公路水路运输</w:t>
      </w:r>
      <w:r>
        <w:rPr>
          <w:rFonts w:hint="eastAsia" w:ascii="仿宋_GB2312" w:eastAsia="仿宋_GB2312"/>
          <w:sz w:val="32"/>
          <w:szCs w:val="32"/>
        </w:rPr>
        <w:t>（款）</w:t>
      </w:r>
      <w:r>
        <w:rPr>
          <w:rFonts w:hint="eastAsia" w:ascii="仿宋_GB2312" w:eastAsia="仿宋_GB2312"/>
          <w:sz w:val="32"/>
          <w:szCs w:val="32"/>
          <w:lang w:val="en-US" w:eastAsia="zh-CN"/>
        </w:rPr>
        <w:t>公路养护</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1086.28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增加467.38</w:t>
      </w:r>
      <w:r>
        <w:rPr>
          <w:rFonts w:hint="eastAsia" w:ascii="仿宋_GB2312" w:eastAsia="仿宋_GB2312"/>
          <w:sz w:val="32"/>
          <w:szCs w:val="32"/>
        </w:rPr>
        <w:t>万元，</w:t>
      </w:r>
      <w:r>
        <w:rPr>
          <w:rFonts w:hint="eastAsia" w:ascii="仿宋_GB2312" w:eastAsia="仿宋_GB2312"/>
          <w:sz w:val="32"/>
          <w:szCs w:val="32"/>
          <w:lang w:val="en-US" w:eastAsia="zh-CN"/>
        </w:rPr>
        <w:t>增长75.52</w:t>
      </w:r>
      <w:r>
        <w:rPr>
          <w:rFonts w:hint="eastAsia" w:ascii="仿宋_GB2312" w:eastAsia="仿宋_GB2312"/>
          <w:sz w:val="32"/>
          <w:szCs w:val="32"/>
        </w:rPr>
        <w:t>%。主要</w:t>
      </w:r>
      <w:r>
        <w:rPr>
          <w:rFonts w:hint="eastAsia" w:ascii="仿宋_GB2312" w:eastAsia="仿宋_GB2312"/>
          <w:sz w:val="32"/>
          <w:szCs w:val="32"/>
          <w:lang w:eastAsia="zh-CN"/>
        </w:rPr>
        <w:t>原因</w:t>
      </w:r>
      <w:r>
        <w:rPr>
          <w:rFonts w:hint="eastAsia" w:ascii="仿宋_GB2312" w:eastAsia="仿宋_GB2312"/>
          <w:sz w:val="32"/>
          <w:szCs w:val="32"/>
        </w:rPr>
        <w:t>是</w:t>
      </w:r>
      <w:r>
        <w:rPr>
          <w:rFonts w:hint="eastAsia" w:ascii="仿宋_GB2312" w:eastAsia="仿宋_GB2312"/>
          <w:sz w:val="32"/>
          <w:szCs w:val="32"/>
          <w:lang w:eastAsia="zh-CN"/>
        </w:rPr>
        <w:t>：人员增加，项目增加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39.80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增加10.67</w:t>
      </w:r>
      <w:r>
        <w:rPr>
          <w:rFonts w:hint="eastAsia" w:ascii="仿宋_GB2312" w:eastAsia="仿宋_GB2312"/>
          <w:sz w:val="32"/>
          <w:szCs w:val="32"/>
        </w:rPr>
        <w:t>万元，</w:t>
      </w:r>
      <w:r>
        <w:rPr>
          <w:rFonts w:hint="eastAsia" w:ascii="仿宋_GB2312" w:eastAsia="仿宋_GB2312"/>
          <w:sz w:val="32"/>
          <w:szCs w:val="32"/>
          <w:lang w:val="en-US" w:eastAsia="zh-CN"/>
        </w:rPr>
        <w:t>增长36.63</w:t>
      </w:r>
      <w:r>
        <w:rPr>
          <w:rFonts w:hint="eastAsia" w:ascii="仿宋_GB2312" w:eastAsia="仿宋_GB2312"/>
          <w:sz w:val="32"/>
          <w:szCs w:val="32"/>
        </w:rPr>
        <w:t>%。主要</w:t>
      </w:r>
      <w:r>
        <w:rPr>
          <w:rFonts w:hint="eastAsia" w:ascii="仿宋_GB2312" w:eastAsia="仿宋_GB2312"/>
          <w:sz w:val="32"/>
          <w:szCs w:val="32"/>
          <w:lang w:eastAsia="zh-CN"/>
        </w:rPr>
        <w:t>原因</w:t>
      </w:r>
      <w:r>
        <w:rPr>
          <w:rFonts w:hint="eastAsia" w:ascii="仿宋_GB2312" w:eastAsia="仿宋_GB2312"/>
          <w:sz w:val="32"/>
          <w:szCs w:val="32"/>
        </w:rPr>
        <w:t>是</w:t>
      </w:r>
      <w:r>
        <w:rPr>
          <w:rFonts w:hint="eastAsia" w:ascii="仿宋_GB2312" w:eastAsia="仿宋_GB2312"/>
          <w:sz w:val="32"/>
          <w:szCs w:val="32"/>
          <w:lang w:eastAsia="zh-CN"/>
        </w:rPr>
        <w:t>：人员增加及住房公积金基数上调及，住房公积金缴费额增加</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湟源县农村公路养护中心2023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553.82</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540.06</w:t>
      </w:r>
      <w:r>
        <w:rPr>
          <w:rFonts w:hint="eastAsia" w:ascii="仿宋_GB2312" w:eastAsia="仿宋_GB2312"/>
          <w:sz w:val="32"/>
          <w:szCs w:val="32"/>
        </w:rPr>
        <w:t>万元，主要包括：</w:t>
      </w:r>
      <w:r>
        <w:rPr>
          <w:rFonts w:hint="eastAsia" w:ascii="仿宋_GB2312" w:eastAsia="仿宋_GB2312"/>
          <w:sz w:val="32"/>
          <w:szCs w:val="32"/>
          <w:lang w:val="en-US" w:eastAsia="zh-CN"/>
        </w:rPr>
        <w:t>基本工资96.61万元、津贴补贴98.97万元、绩效工资146.74万元、机关事业单位基本养老保险缴费42.32万元、职业年金缴费21.16万元、职工基本医疗保险缴费16.01万元、公务员医疗补助缴费19.67万元、其他社会保障缴费1.72万元、住房公积金39.80万元、退休费36.89万元、退职（役）费3.09万元、医疗费补助17.06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13.77</w:t>
      </w:r>
      <w:r>
        <w:rPr>
          <w:rFonts w:hint="eastAsia" w:ascii="仿宋_GB2312" w:eastAsia="仿宋_GB2312"/>
          <w:sz w:val="32"/>
          <w:szCs w:val="32"/>
        </w:rPr>
        <w:t>万元，主要包括：</w:t>
      </w:r>
      <w:r>
        <w:rPr>
          <w:rFonts w:hint="eastAsia" w:ascii="仿宋_GB2312" w:eastAsia="仿宋_GB2312"/>
          <w:sz w:val="32"/>
          <w:szCs w:val="32"/>
          <w:lang w:val="en-US" w:eastAsia="zh-CN"/>
        </w:rPr>
        <w:t>办公费0.72万元、水费0.48万元、电费0.48万元、邮电费1.20万元、取暖费2.40万元、差旅费0.96万元、公务接待费0.48万元、工会经费4.93万元、公务用车运行维护费0.80万元、其他商品和服务支出1.32万元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湟源县农村公路养护中心2023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1.28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0.48</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lang w:eastAsia="zh-CN"/>
        </w:rPr>
        <w:t>与上年无变化</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湟源县农村公路养护中心2023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湟源县农村公路养护中心2023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湟源县农村公路养护中心</w:t>
      </w:r>
      <w:r>
        <w:rPr>
          <w:rFonts w:hint="eastAsia" w:ascii="仿宋_GB2312" w:hAnsi="仿宋" w:eastAsia="仿宋_GB2312"/>
          <w:spacing w:val="-6"/>
          <w:kern w:val="2"/>
          <w:sz w:val="32"/>
          <w:szCs w:val="32"/>
          <w:lang w:val="en-US"/>
        </w:rPr>
        <w:t>机关运行经费财政拨款预算13.77万元，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预算增加0.0</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万元，增长0.36%。主要</w:t>
      </w:r>
      <w:r>
        <w:rPr>
          <w:rFonts w:hint="eastAsia" w:ascii="仿宋_GB2312" w:hAnsi="仿宋" w:eastAsia="仿宋_GB2312"/>
          <w:spacing w:val="-6"/>
          <w:kern w:val="2"/>
          <w:sz w:val="32"/>
          <w:szCs w:val="32"/>
          <w:lang w:val="en-US" w:eastAsia="zh-CN"/>
        </w:rPr>
        <w:t>原因是：人员增加，经费增加。</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湟源县农村公路养护中心各单位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湟源县农村公路养护中心所属各预算单位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辆、一般执法执勤用车辆、特种专业技术用车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车辆。单价50万元以上通用设备台</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湟源县农村公路养护中心</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730.19</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6"/>
        <w:tblW w:w="9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1"/>
        <w:gridCol w:w="1180"/>
        <w:gridCol w:w="1783"/>
        <w:gridCol w:w="807"/>
        <w:gridCol w:w="670"/>
        <w:gridCol w:w="1322"/>
        <w:gridCol w:w="905"/>
        <w:gridCol w:w="94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86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74"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07"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5"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89"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农村公路养护资金</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184.75</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承担全县农村公路的日常养护及维修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农村公路列养率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公路畅通及安全水平</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农牧民群众满意度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政府还贷二级公路取消收费后补助资金</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385.44</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保持公路基础设施良好技术状况水平</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支持农村公路实施修复养护里程</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18.172</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对经济发展的促进作用</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农牧民群众满意度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农村公路养护资金县级补助</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123.15</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农村公路及道路的养护及维修，对养护工作的督促检查，对农村公路的监管养护。</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农村公路列养率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优良路率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按期完成投资，对经济发展有明显促进作用</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农牧民群众满意度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乡村道路维修费</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14.85</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农村公路维修，抢险保通，冬季除雪维修等</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农村公路列养率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优良路率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建设(改造、修缮)工程量</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建设(改造、修缮)工程数量</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竣工验收合格率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项目设计变更率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项目按计划完工率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项目按计划开工率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设施正常运转率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项目受益人数</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建筑（工程）综合利用率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受益群体满意度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农牧民群众满意度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2023年养护业务补助经费</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22.00</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确保养护工作顺利进行，确保养护人员权益</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单位日常业务正常运转率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群众出行便利度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八）交通运输支出</w:t>
      </w:r>
      <w:r>
        <w:rPr>
          <w:rFonts w:hint="eastAsia" w:ascii="仿宋_GB2312" w:eastAsia="仿宋_GB2312"/>
          <w:b/>
          <w:bCs/>
          <w:sz w:val="32"/>
          <w:szCs w:val="32"/>
        </w:rPr>
        <w:t>（类）</w:t>
      </w:r>
      <w:r>
        <w:rPr>
          <w:rFonts w:hint="eastAsia" w:ascii="仿宋_GB2312" w:eastAsia="仿宋_GB2312"/>
          <w:b/>
          <w:bCs/>
          <w:sz w:val="32"/>
          <w:szCs w:val="32"/>
          <w:lang w:val="en-US" w:eastAsia="zh-CN"/>
        </w:rPr>
        <w:t>公路水路运输</w:t>
      </w:r>
      <w:r>
        <w:rPr>
          <w:rFonts w:hint="eastAsia" w:ascii="仿宋_GB2312" w:eastAsia="仿宋_GB2312"/>
          <w:b/>
          <w:bCs/>
          <w:sz w:val="32"/>
          <w:szCs w:val="32"/>
        </w:rPr>
        <w:t>（款）</w:t>
      </w:r>
      <w:r>
        <w:rPr>
          <w:rFonts w:hint="eastAsia" w:ascii="仿宋_GB2312" w:eastAsia="仿宋_GB2312"/>
          <w:b/>
          <w:bCs/>
          <w:sz w:val="32"/>
          <w:szCs w:val="32"/>
          <w:lang w:val="en-US" w:eastAsia="zh-CN"/>
        </w:rPr>
        <w:t>公路养护</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反映公路养护支出。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ZlNGVmMGI2N2NhZGZkNTA3MmM3YzBmNTYyOTM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30A81"/>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776432"/>
    <w:rsid w:val="069A0522"/>
    <w:rsid w:val="06DB44D3"/>
    <w:rsid w:val="06E710CA"/>
    <w:rsid w:val="06EE3BED"/>
    <w:rsid w:val="06FC2DC7"/>
    <w:rsid w:val="07170AD3"/>
    <w:rsid w:val="073360BD"/>
    <w:rsid w:val="0737795B"/>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5B7EC1"/>
    <w:rsid w:val="0AE75B3C"/>
    <w:rsid w:val="0AE95411"/>
    <w:rsid w:val="0AF344E1"/>
    <w:rsid w:val="0AFD2C6A"/>
    <w:rsid w:val="0AFD318D"/>
    <w:rsid w:val="0B9335CE"/>
    <w:rsid w:val="0B9475AC"/>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523A58"/>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8A52B7"/>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6E42F30"/>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B1F8C"/>
    <w:rsid w:val="1ECF44C6"/>
    <w:rsid w:val="1ED57D2E"/>
    <w:rsid w:val="1EE6018D"/>
    <w:rsid w:val="1EE937D9"/>
    <w:rsid w:val="1F57E50F"/>
    <w:rsid w:val="1F585875"/>
    <w:rsid w:val="1F6248B1"/>
    <w:rsid w:val="1F7532BF"/>
    <w:rsid w:val="1F7C464D"/>
    <w:rsid w:val="1FBE4C66"/>
    <w:rsid w:val="1FC63B1B"/>
    <w:rsid w:val="1FE76146"/>
    <w:rsid w:val="1FF16DE9"/>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EE1A15"/>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614165"/>
    <w:rsid w:val="357527A5"/>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6D241A"/>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557FB"/>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B377C0"/>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641D56"/>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BF929FE"/>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5C44B0"/>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700EA"/>
    <w:rsid w:val="5DEC4171"/>
    <w:rsid w:val="5E1611EE"/>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A2989"/>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584116"/>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67436"/>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63260"/>
    <w:rsid w:val="70281CF1"/>
    <w:rsid w:val="70425E72"/>
    <w:rsid w:val="705160B5"/>
    <w:rsid w:val="707F6E74"/>
    <w:rsid w:val="709C4DBC"/>
    <w:rsid w:val="70A24B63"/>
    <w:rsid w:val="71283BDB"/>
    <w:rsid w:val="713F0604"/>
    <w:rsid w:val="715F1BDC"/>
    <w:rsid w:val="71673246"/>
    <w:rsid w:val="71704AAF"/>
    <w:rsid w:val="71705FC9"/>
    <w:rsid w:val="718F333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43FCA"/>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6B77EC"/>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0C5FAC"/>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link w:val="2"/>
    <w:semiHidden/>
    <w:qFormat/>
    <w:uiPriority w:val="99"/>
    <w:rPr>
      <w:rFonts w:ascii="Times New Roman" w:hAnsi="Times New Roman"/>
      <w:kern w:val="2"/>
      <w:sz w:val="18"/>
      <w:szCs w:val="18"/>
    </w:rPr>
  </w:style>
  <w:style w:type="character" w:customStyle="1" w:styleId="10">
    <w:name w:val="页脚 Char"/>
    <w:link w:val="3"/>
    <w:qFormat/>
    <w:uiPriority w:val="99"/>
    <w:rPr>
      <w:rFonts w:ascii="Times New Roman" w:hAnsi="Times New Roman"/>
      <w:kern w:val="2"/>
      <w:sz w:val="18"/>
      <w:szCs w:val="18"/>
    </w:rPr>
  </w:style>
  <w:style w:type="character" w:customStyle="1" w:styleId="11">
    <w:name w:val="页眉 Char"/>
    <w:link w:val="4"/>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71"/>
    <w:basedOn w:val="7"/>
    <w:qFormat/>
    <w:uiPriority w:val="0"/>
    <w:rPr>
      <w:rFonts w:hint="eastAsia" w:ascii="宋体" w:hAnsi="宋体" w:eastAsia="宋体" w:cs="宋体"/>
      <w:color w:val="000000"/>
      <w:sz w:val="22"/>
      <w:szCs w:val="22"/>
      <w:u w:val="none"/>
    </w:rPr>
  </w:style>
  <w:style w:type="character" w:customStyle="1" w:styleId="17">
    <w:name w:val="font6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7320</Words>
  <Characters>8848</Characters>
  <Lines>43</Lines>
  <Paragraphs>12</Paragraphs>
  <TotalTime>67</TotalTime>
  <ScaleCrop>false</ScaleCrop>
  <LinksUpToDate>false</LinksUpToDate>
  <CharactersWithSpaces>8955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2023-06-07T08:19:14Z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A38169F39CB645A0A2D71B07EC83CA8D_13</vt:lpwstr>
  </property>
</Properties>
</file>