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湟源县南山渠管理所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承担辖区内水利设施及河道的管护工作；承担流域内乡镇节水灌溉、人畜饮水工作。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湟源县南山渠管理所共有机构数1个，属二级单位，核定编制数为13个，实有编制人员10人，空编3个。</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纳入湟源县南山渠管理所部门2023年部门预算编制范围的二级预算单位包括：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363.02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51.54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31.42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258.31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363.02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363.02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363.02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363.02</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412" w:type="dxa"/>
        <w:jc w:val="center"/>
        <w:tblLayout w:type="fixed"/>
        <w:tblCellMar>
          <w:top w:w="0" w:type="dxa"/>
          <w:left w:w="108" w:type="dxa"/>
          <w:bottom w:w="0" w:type="dxa"/>
          <w:right w:w="108" w:type="dxa"/>
        </w:tblCellMar>
      </w:tblPr>
      <w:tblGrid>
        <w:gridCol w:w="951"/>
        <w:gridCol w:w="951"/>
        <w:gridCol w:w="951"/>
        <w:gridCol w:w="951"/>
        <w:gridCol w:w="951"/>
        <w:gridCol w:w="951"/>
        <w:gridCol w:w="951"/>
        <w:gridCol w:w="951"/>
        <w:gridCol w:w="951"/>
        <w:gridCol w:w="951"/>
        <w:gridCol w:w="951"/>
        <w:gridCol w:w="951"/>
      </w:tblGrid>
      <w:tr>
        <w:tblPrEx>
          <w:tblCellMar>
            <w:top w:w="0" w:type="dxa"/>
            <w:left w:w="108" w:type="dxa"/>
            <w:bottom w:w="0" w:type="dxa"/>
            <w:right w:w="108" w:type="dxa"/>
          </w:tblCellMar>
        </w:tblPrEx>
        <w:trPr>
          <w:trHeight w:val="392" w:hRule="atLeast"/>
          <w:jc w:val="center"/>
        </w:trPr>
        <w:tc>
          <w:tcPr>
            <w:tcW w:w="1141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1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1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363.02</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363.02</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363.02</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363.02</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湟源县南山渠管理所</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363.02</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363.02</w:t>
            </w: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35" w:type="dxa"/>
        <w:jc w:val="center"/>
        <w:tblLayout w:type="fixed"/>
        <w:tblCellMar>
          <w:top w:w="0" w:type="dxa"/>
          <w:left w:w="108" w:type="dxa"/>
          <w:bottom w:w="0" w:type="dxa"/>
          <w:right w:w="108" w:type="dxa"/>
        </w:tblCellMar>
      </w:tblPr>
      <w:tblGrid>
        <w:gridCol w:w="1100"/>
        <w:gridCol w:w="3928"/>
        <w:gridCol w:w="1034"/>
        <w:gridCol w:w="1034"/>
        <w:gridCol w:w="1034"/>
        <w:gridCol w:w="1034"/>
        <w:gridCol w:w="1034"/>
        <w:gridCol w:w="1037"/>
      </w:tblGrid>
      <w:tr>
        <w:tblPrEx>
          <w:tblCellMar>
            <w:top w:w="0" w:type="dxa"/>
            <w:left w:w="108" w:type="dxa"/>
            <w:bottom w:w="0" w:type="dxa"/>
            <w:right w:w="108" w:type="dxa"/>
          </w:tblCellMar>
        </w:tblPrEx>
        <w:trPr>
          <w:trHeight w:val="187" w:hRule="atLeast"/>
          <w:jc w:val="center"/>
        </w:trPr>
        <w:tc>
          <w:tcPr>
            <w:tcW w:w="1123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3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3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363.02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298.02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51.54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51.54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15.39</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15.39</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31.42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31.42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31.42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31.42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20.43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20.43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258.31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258.31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2130316</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农村水利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1084"/>
        <w:gridCol w:w="1751"/>
        <w:gridCol w:w="1281"/>
        <w:gridCol w:w="128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363.02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363.02</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363.02</w:t>
            </w: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363.02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51.54</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51.54</w:t>
            </w: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31.42</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31.42</w:t>
            </w: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258.31</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258.31</w:t>
            </w: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21.74</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21.74</w:t>
            </w: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363.02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8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363.02</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363.02</w:t>
            </w:r>
          </w:p>
        </w:tc>
        <w:tc>
          <w:tcPr>
            <w:tcW w:w="134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6"/>
        <w:gridCol w:w="1421"/>
        <w:gridCol w:w="1421"/>
        <w:gridCol w:w="142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363.02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298.02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51.54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51.54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50.58</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23.46</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23.46</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11.73</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11.73</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15.39</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0.96</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0.96</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0.96</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0.96</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31.42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31.42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31.42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31.42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20.43</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20.43</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258.31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193.31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258.31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193.31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193.31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193.31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农村水利</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65.00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001" w:type="dxa"/>
        <w:jc w:val="center"/>
        <w:tblLayout w:type="fixed"/>
        <w:tblCellMar>
          <w:top w:w="0" w:type="dxa"/>
          <w:left w:w="108" w:type="dxa"/>
          <w:bottom w:w="0" w:type="dxa"/>
          <w:right w:w="108" w:type="dxa"/>
        </w:tblCellMar>
      </w:tblPr>
      <w:tblGrid>
        <w:gridCol w:w="650"/>
        <w:gridCol w:w="650"/>
        <w:gridCol w:w="2903"/>
        <w:gridCol w:w="2266"/>
        <w:gridCol w:w="2266"/>
        <w:gridCol w:w="2266"/>
      </w:tblGrid>
      <w:tr>
        <w:tblPrEx>
          <w:tblCellMar>
            <w:top w:w="0" w:type="dxa"/>
            <w:left w:w="108" w:type="dxa"/>
            <w:bottom w:w="0" w:type="dxa"/>
            <w:right w:w="108" w:type="dxa"/>
          </w:tblCellMar>
        </w:tblPrEx>
        <w:trPr>
          <w:trHeight w:val="264" w:hRule="atLeast"/>
          <w:jc w:val="center"/>
        </w:trPr>
        <w:tc>
          <w:tcPr>
            <w:tcW w:w="11001"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001"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001"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0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9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0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298.02</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291.25</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264.38</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264.38</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58.70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58.70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51.90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51.90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75.93</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75.93</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23.46</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23.46</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11.73</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11.73</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8.95</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8.95</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21.74</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21.74</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6.77</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2.75</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26.87</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26.87</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13.71</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13.71</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11.48</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11.48</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74"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474"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74"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84"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59"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59"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859"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湟源县南山渠管理所2023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湟源县南山渠管理所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一般公共预算拨款收入363.02万元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社会保障和就业支出51.54万元，卫生健康支出31.42万元，农林水支出258.31万元，住房保障支出21.74万元</w:t>
      </w:r>
      <w:r>
        <w:rPr>
          <w:rFonts w:hint="eastAsia" w:ascii="仿宋_GB2312" w:eastAsia="仿宋_GB2312"/>
          <w:sz w:val="32"/>
          <w:szCs w:val="32"/>
        </w:rPr>
        <w:t>。</w:t>
      </w:r>
      <w:r>
        <w:rPr>
          <w:rFonts w:hint="eastAsia" w:ascii="仿宋_GB2312" w:eastAsia="仿宋_GB2312"/>
          <w:sz w:val="32"/>
          <w:szCs w:val="32"/>
          <w:lang w:val="en-US" w:eastAsia="zh-CN"/>
        </w:rPr>
        <w:t>湟源县南山渠管理所2023</w:t>
      </w:r>
      <w:r>
        <w:rPr>
          <w:rFonts w:hint="eastAsia" w:ascii="仿宋_GB2312" w:eastAsia="仿宋_GB2312"/>
          <w:sz w:val="32"/>
          <w:szCs w:val="32"/>
        </w:rPr>
        <w:t>年收支总预算</w:t>
      </w:r>
      <w:r>
        <w:rPr>
          <w:rFonts w:hint="eastAsia" w:ascii="仿宋_GB2312" w:eastAsia="仿宋_GB2312"/>
          <w:sz w:val="32"/>
          <w:szCs w:val="32"/>
          <w:lang w:val="en-US" w:eastAsia="zh-CN"/>
        </w:rPr>
        <w:t>363.02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湟源县南山渠管理所2023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年收入预算</w:t>
      </w:r>
      <w:r>
        <w:rPr>
          <w:rFonts w:hint="eastAsia" w:ascii="仿宋_GB2312" w:eastAsia="仿宋_GB2312"/>
          <w:sz w:val="32"/>
          <w:szCs w:val="32"/>
          <w:lang w:val="en-US" w:eastAsia="zh-CN"/>
        </w:rPr>
        <w:t>363.02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一般公共预算拨款收入363.02万元，占100.00%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15pt;width:352.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湟源县南山渠管理所2023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年支出预算</w:t>
      </w:r>
      <w:r>
        <w:rPr>
          <w:rFonts w:hint="eastAsia" w:ascii="仿宋_GB2312" w:eastAsia="仿宋_GB2312"/>
          <w:sz w:val="32"/>
          <w:szCs w:val="32"/>
          <w:lang w:val="en-US" w:eastAsia="zh-CN"/>
        </w:rPr>
        <w:t>363.02</w:t>
      </w:r>
      <w:r>
        <w:rPr>
          <w:rFonts w:hint="eastAsia" w:ascii="仿宋_GB2312" w:eastAsia="仿宋_GB2312"/>
          <w:sz w:val="32"/>
          <w:szCs w:val="32"/>
        </w:rPr>
        <w:t>万元，其中：</w:t>
      </w:r>
      <w:r>
        <w:rPr>
          <w:rFonts w:hint="eastAsia" w:ascii="仿宋_GB2312" w:eastAsia="仿宋_GB2312"/>
          <w:sz w:val="32"/>
          <w:szCs w:val="32"/>
          <w:lang w:val="en-US" w:eastAsia="zh-CN"/>
        </w:rPr>
        <w:t>基本支出298.02万元，占82.09%；项目支出65.00万元，占17.91%</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29150" cy="212915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629150" cy="212915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湟源县南山渠管理所2023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363.02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增加47.91</w:t>
      </w:r>
      <w:r>
        <w:rPr>
          <w:rFonts w:hint="eastAsia" w:ascii="仿宋_GB2312" w:eastAsia="仿宋_GB2312"/>
          <w:sz w:val="32"/>
          <w:szCs w:val="32"/>
        </w:rPr>
        <w:t>万元，主要是</w:t>
      </w:r>
      <w:r>
        <w:rPr>
          <w:rFonts w:hint="eastAsia" w:ascii="仿宋_GB2312" w:eastAsia="仿宋_GB2312"/>
          <w:sz w:val="32"/>
          <w:szCs w:val="32"/>
          <w:lang w:val="en-US" w:eastAsia="zh-CN"/>
        </w:rPr>
        <w:t>2023南山灌区维修管护经费较2022年增加10万元以及人员工资浮动</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一般公共预算拨款收入363.02万元，上年结转0.00万元；政府性基金预算拨款收入0.00万元，上年结转0.00万元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社会保障和就业支出51.54万元， 卫生健康支出31.42万元， 农林水支出258.31万元， 住房保障支出21.74万元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95800" cy="206819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9"/>
                    <a:stretch>
                      <a:fillRect/>
                    </a:stretch>
                  </pic:blipFill>
                  <pic:spPr>
                    <a:xfrm>
                      <a:off x="0" y="0"/>
                      <a:ext cx="4495800" cy="206819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湟源县南山渠管理所2023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363.02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增加47.91</w:t>
      </w:r>
      <w:r>
        <w:rPr>
          <w:rFonts w:hint="eastAsia" w:ascii="仿宋_GB2312" w:eastAsia="仿宋_GB2312"/>
          <w:sz w:val="32"/>
          <w:szCs w:val="32"/>
        </w:rPr>
        <w:t>万元，主要是</w:t>
      </w:r>
      <w:r>
        <w:rPr>
          <w:rFonts w:hint="eastAsia" w:ascii="仿宋_GB2312" w:eastAsia="仿宋_GB2312"/>
          <w:sz w:val="32"/>
          <w:szCs w:val="32"/>
          <w:lang w:val="en-US" w:eastAsia="zh-CN"/>
        </w:rPr>
        <w:t>2023南山灌区维修管护经费较2022年增加10万元以及人员工资浮动</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6" o:spt="75" type="#_x0000_t75" style="height:122.1pt;width:357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社会保障和就业支出51.54万元，占14.20%；卫生健康支出31.42万元，占8.66%；农林水支出258.31万元，占71.16%；住房保障支出21.74万元，占5.99%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31665" cy="2038350"/>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1"/>
                    <a:stretch>
                      <a:fillRect/>
                    </a:stretch>
                  </pic:blipFill>
                  <pic:spPr>
                    <a:xfrm>
                      <a:off x="0" y="0"/>
                      <a:ext cx="4431665" cy="203835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增加3.74</w:t>
      </w:r>
      <w:r>
        <w:rPr>
          <w:rFonts w:hint="eastAsia" w:ascii="仿宋_GB2312" w:eastAsia="仿宋_GB2312"/>
          <w:sz w:val="32"/>
          <w:szCs w:val="32"/>
        </w:rPr>
        <w:t>万元，</w:t>
      </w:r>
      <w:r>
        <w:rPr>
          <w:rFonts w:hint="eastAsia" w:ascii="仿宋_GB2312" w:eastAsia="仿宋_GB2312"/>
          <w:sz w:val="32"/>
          <w:szCs w:val="32"/>
          <w:lang w:val="en-US" w:eastAsia="zh-CN"/>
        </w:rPr>
        <w:t>增长18.97</w:t>
      </w:r>
      <w:r>
        <w:rPr>
          <w:rFonts w:hint="eastAsia" w:ascii="仿宋_GB2312" w:eastAsia="仿宋_GB2312"/>
          <w:sz w:val="32"/>
          <w:szCs w:val="32"/>
        </w:rPr>
        <w:t>%。</w:t>
      </w:r>
      <w:r>
        <w:rPr>
          <w:rFonts w:hint="eastAsia" w:ascii="仿宋_GB2312" w:eastAsia="仿宋_GB2312"/>
          <w:sz w:val="32"/>
          <w:szCs w:val="32"/>
          <w:lang w:eastAsia="zh-CN"/>
        </w:rPr>
        <w:t>主要原因是养老基数变动。</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增加1.87</w:t>
      </w:r>
      <w:r>
        <w:rPr>
          <w:rFonts w:hint="eastAsia" w:ascii="仿宋_GB2312" w:eastAsia="仿宋_GB2312"/>
          <w:sz w:val="32"/>
          <w:szCs w:val="32"/>
        </w:rPr>
        <w:t>万元，</w:t>
      </w:r>
      <w:r>
        <w:rPr>
          <w:rFonts w:hint="eastAsia" w:ascii="仿宋_GB2312" w:eastAsia="仿宋_GB2312"/>
          <w:sz w:val="32"/>
          <w:szCs w:val="32"/>
          <w:lang w:val="en-US" w:eastAsia="zh-CN"/>
        </w:rPr>
        <w:t>增长18.97</w:t>
      </w:r>
      <w:r>
        <w:rPr>
          <w:rFonts w:hint="eastAsia" w:ascii="仿宋_GB2312" w:eastAsia="仿宋_GB2312"/>
          <w:sz w:val="32"/>
          <w:szCs w:val="32"/>
        </w:rPr>
        <w:t>%。主要是</w:t>
      </w:r>
      <w:r>
        <w:rPr>
          <w:rFonts w:hint="eastAsia" w:ascii="仿宋_GB2312" w:eastAsia="仿宋_GB2312"/>
          <w:sz w:val="32"/>
          <w:szCs w:val="32"/>
          <w:lang w:eastAsia="zh-CN"/>
        </w:rPr>
        <w:t>养老基数变动</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减少0.56</w:t>
      </w:r>
      <w:r>
        <w:rPr>
          <w:rFonts w:hint="eastAsia" w:ascii="仿宋_GB2312" w:eastAsia="仿宋_GB2312"/>
          <w:sz w:val="32"/>
          <w:szCs w:val="32"/>
        </w:rPr>
        <w:t>万元，</w:t>
      </w:r>
      <w:r>
        <w:rPr>
          <w:rFonts w:hint="eastAsia" w:ascii="仿宋_GB2312" w:eastAsia="仿宋_GB2312"/>
          <w:sz w:val="32"/>
          <w:szCs w:val="32"/>
          <w:lang w:val="en-US" w:eastAsia="zh-CN"/>
        </w:rPr>
        <w:t>下降3.51</w:t>
      </w:r>
      <w:r>
        <w:rPr>
          <w:rFonts w:hint="eastAsia" w:ascii="仿宋_GB2312" w:eastAsia="仿宋_GB2312"/>
          <w:sz w:val="32"/>
          <w:szCs w:val="32"/>
        </w:rPr>
        <w:t>%。</w:t>
      </w:r>
      <w:r>
        <w:rPr>
          <w:rFonts w:hint="eastAsia" w:ascii="仿宋_GB2312" w:eastAsia="仿宋_GB2312"/>
          <w:sz w:val="32"/>
          <w:szCs w:val="32"/>
          <w:highlight w:val="none"/>
          <w:lang w:eastAsia="zh-CN"/>
        </w:rPr>
        <w:t>原因为新增退休一人，在职养老保险减少。</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减少0.08</w:t>
      </w:r>
      <w:r>
        <w:rPr>
          <w:rFonts w:hint="eastAsia" w:ascii="仿宋_GB2312" w:eastAsia="仿宋_GB2312"/>
          <w:sz w:val="32"/>
          <w:szCs w:val="32"/>
        </w:rPr>
        <w:t>万元，</w:t>
      </w:r>
      <w:r>
        <w:rPr>
          <w:rFonts w:hint="eastAsia" w:ascii="仿宋_GB2312" w:eastAsia="仿宋_GB2312"/>
          <w:sz w:val="32"/>
          <w:szCs w:val="32"/>
          <w:lang w:val="en-US" w:eastAsia="zh-CN"/>
        </w:rPr>
        <w:t>下降7.69</w:t>
      </w:r>
      <w:r>
        <w:rPr>
          <w:rFonts w:hint="eastAsia" w:ascii="仿宋_GB2312" w:eastAsia="仿宋_GB2312"/>
          <w:sz w:val="32"/>
          <w:szCs w:val="32"/>
        </w:rPr>
        <w:t>%。</w:t>
      </w:r>
      <w:r>
        <w:rPr>
          <w:rFonts w:hint="eastAsia" w:ascii="仿宋_GB2312" w:eastAsia="仿宋_GB2312"/>
          <w:sz w:val="32"/>
          <w:szCs w:val="32"/>
          <w:highlight w:val="none"/>
          <w:lang w:eastAsia="zh-CN"/>
        </w:rPr>
        <w:t>原因为新增退休一人，在职养老保险减少。</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20.43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增加3.12</w:t>
      </w:r>
      <w:r>
        <w:rPr>
          <w:rFonts w:hint="eastAsia" w:ascii="仿宋_GB2312" w:eastAsia="仿宋_GB2312"/>
          <w:sz w:val="32"/>
          <w:szCs w:val="32"/>
        </w:rPr>
        <w:t>万元，</w:t>
      </w:r>
      <w:r>
        <w:rPr>
          <w:rFonts w:hint="eastAsia" w:ascii="仿宋_GB2312" w:eastAsia="仿宋_GB2312"/>
          <w:sz w:val="32"/>
          <w:szCs w:val="32"/>
          <w:lang w:val="en-US" w:eastAsia="zh-CN"/>
        </w:rPr>
        <w:t>增长18.02</w:t>
      </w:r>
      <w:r>
        <w:rPr>
          <w:rFonts w:hint="eastAsia" w:ascii="仿宋_GB2312" w:eastAsia="仿宋_GB2312"/>
          <w:sz w:val="32"/>
          <w:szCs w:val="32"/>
        </w:rPr>
        <w:t>%。主要是</w:t>
      </w:r>
      <w:r>
        <w:rPr>
          <w:rFonts w:hint="eastAsia" w:ascii="仿宋_GB2312" w:eastAsia="仿宋_GB2312"/>
          <w:sz w:val="32"/>
          <w:szCs w:val="32"/>
          <w:lang w:eastAsia="zh-CN"/>
        </w:rPr>
        <w:t>基数变</w:t>
      </w:r>
      <w:r>
        <w:rPr>
          <w:rFonts w:hint="eastAsia" w:ascii="仿宋_GB2312" w:eastAsia="仿宋_GB2312"/>
          <w:sz w:val="32"/>
          <w:szCs w:val="32"/>
          <w:lang w:val="en-US" w:eastAsia="zh-CN"/>
        </w:rPr>
        <w:t>动</w:t>
      </w:r>
      <w:r>
        <w:rPr>
          <w:rFonts w:hint="eastAsia" w:ascii="仿宋_GB2312" w:eastAsia="仿宋_GB2312"/>
          <w:sz w:val="32"/>
          <w:szCs w:val="32"/>
          <w:lang w:eastAsia="zh-CN"/>
        </w:rPr>
        <w:t>及人员工资浮动</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减少0.90</w:t>
      </w:r>
      <w:r>
        <w:rPr>
          <w:rFonts w:hint="eastAsia" w:ascii="仿宋_GB2312" w:eastAsia="仿宋_GB2312"/>
          <w:sz w:val="32"/>
          <w:szCs w:val="32"/>
        </w:rPr>
        <w:t>万元，</w:t>
      </w:r>
      <w:r>
        <w:rPr>
          <w:rFonts w:hint="eastAsia" w:ascii="仿宋_GB2312" w:eastAsia="仿宋_GB2312"/>
          <w:sz w:val="32"/>
          <w:szCs w:val="32"/>
          <w:lang w:val="en-US" w:eastAsia="zh-CN"/>
        </w:rPr>
        <w:t>下降7.56</w:t>
      </w:r>
      <w:r>
        <w:rPr>
          <w:rFonts w:hint="eastAsia" w:ascii="仿宋_GB2312" w:eastAsia="仿宋_GB2312"/>
          <w:sz w:val="32"/>
          <w:szCs w:val="32"/>
        </w:rPr>
        <w:t>%。</w:t>
      </w:r>
      <w:r>
        <w:rPr>
          <w:rFonts w:hint="eastAsia" w:ascii="仿宋_GB2312" w:eastAsia="仿宋_GB2312"/>
          <w:sz w:val="32"/>
          <w:szCs w:val="32"/>
          <w:highlight w:val="none"/>
          <w:lang w:eastAsia="zh-CN"/>
        </w:rPr>
        <w:t>原因为新增退休一人，在职养老保险减少。</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193.31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增加1.89</w:t>
      </w:r>
      <w:r>
        <w:rPr>
          <w:rFonts w:hint="eastAsia" w:ascii="仿宋_GB2312" w:eastAsia="仿宋_GB2312"/>
          <w:sz w:val="32"/>
          <w:szCs w:val="32"/>
        </w:rPr>
        <w:t>万元，</w:t>
      </w:r>
      <w:r>
        <w:rPr>
          <w:rFonts w:hint="eastAsia" w:ascii="仿宋_GB2312" w:eastAsia="仿宋_GB2312"/>
          <w:sz w:val="32"/>
          <w:szCs w:val="32"/>
          <w:lang w:val="en-US" w:eastAsia="zh-CN"/>
        </w:rPr>
        <w:t>增长0.99</w:t>
      </w:r>
      <w:r>
        <w:rPr>
          <w:rFonts w:hint="eastAsia" w:ascii="仿宋_GB2312" w:eastAsia="仿宋_GB2312"/>
          <w:sz w:val="32"/>
          <w:szCs w:val="32"/>
        </w:rPr>
        <w:t>%。主要是</w:t>
      </w:r>
      <w:r>
        <w:rPr>
          <w:rFonts w:hint="eastAsia" w:ascii="仿宋_GB2312" w:eastAsia="仿宋_GB2312"/>
          <w:sz w:val="32"/>
          <w:szCs w:val="32"/>
          <w:lang w:eastAsia="zh-CN"/>
        </w:rPr>
        <w:t>人员工资浮动</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农村水利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增加35.00</w:t>
      </w:r>
      <w:r>
        <w:rPr>
          <w:rFonts w:hint="eastAsia" w:ascii="仿宋_GB2312" w:eastAsia="仿宋_GB2312"/>
          <w:sz w:val="32"/>
          <w:szCs w:val="32"/>
        </w:rPr>
        <w:t>万元，</w:t>
      </w:r>
      <w:r>
        <w:rPr>
          <w:rFonts w:hint="eastAsia" w:ascii="仿宋_GB2312" w:eastAsia="仿宋_GB2312"/>
          <w:sz w:val="32"/>
          <w:szCs w:val="32"/>
          <w:lang w:val="en-US" w:eastAsia="zh-CN"/>
        </w:rPr>
        <w:t>增长116.67</w:t>
      </w:r>
      <w:r>
        <w:rPr>
          <w:rFonts w:hint="eastAsia" w:ascii="仿宋_GB2312" w:eastAsia="仿宋_GB2312"/>
          <w:sz w:val="32"/>
          <w:szCs w:val="32"/>
        </w:rPr>
        <w:t>%。主要是</w:t>
      </w:r>
      <w:r>
        <w:rPr>
          <w:rFonts w:hint="eastAsia" w:ascii="仿宋_GB2312" w:eastAsia="仿宋_GB2312"/>
          <w:sz w:val="32"/>
          <w:szCs w:val="32"/>
          <w:lang w:val="en-US" w:eastAsia="zh-CN"/>
        </w:rPr>
        <w:t>2023年项目变动。</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21.74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增加3.85</w:t>
      </w:r>
      <w:r>
        <w:rPr>
          <w:rFonts w:hint="eastAsia" w:ascii="仿宋_GB2312" w:eastAsia="仿宋_GB2312"/>
          <w:sz w:val="32"/>
          <w:szCs w:val="32"/>
        </w:rPr>
        <w:t>万元，</w:t>
      </w:r>
      <w:r>
        <w:rPr>
          <w:rFonts w:hint="eastAsia" w:ascii="仿宋_GB2312" w:eastAsia="仿宋_GB2312"/>
          <w:sz w:val="32"/>
          <w:szCs w:val="32"/>
          <w:lang w:val="en-US" w:eastAsia="zh-CN"/>
        </w:rPr>
        <w:t>增长21.52</w:t>
      </w:r>
      <w:r>
        <w:rPr>
          <w:rFonts w:hint="eastAsia" w:ascii="仿宋_GB2312" w:eastAsia="仿宋_GB2312"/>
          <w:sz w:val="32"/>
          <w:szCs w:val="32"/>
        </w:rPr>
        <w:t>%。主要是</w:t>
      </w:r>
      <w:r>
        <w:rPr>
          <w:rFonts w:hint="eastAsia" w:ascii="仿宋_GB2312" w:eastAsia="仿宋_GB2312"/>
          <w:sz w:val="32"/>
          <w:szCs w:val="32"/>
          <w:lang w:eastAsia="zh-CN"/>
        </w:rPr>
        <w:t>人员工资浮动</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湟源县南山渠管理所2023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298.02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291.25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58.70万元、津贴补贴51.90万元、绩效工资75.93万元、机关事业单位基本养老保险缴费23.46万元、职业年金缴费11.73万元、职工基本医疗保险缴费8.95万元、公务员医疗补助缴费11.00万元、其他社会保障缴费0.96万元、住房公积金21.74万元、退休费13.71万元、生活补助1.69万元、医疗费补助11.48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6.77</w:t>
      </w:r>
      <w:r>
        <w:rPr>
          <w:rFonts w:hint="eastAsia" w:ascii="仿宋_GB2312" w:eastAsia="仿宋_GB2312"/>
          <w:sz w:val="32"/>
          <w:szCs w:val="32"/>
        </w:rPr>
        <w:t>万元，主要包括：</w:t>
      </w:r>
      <w:r>
        <w:rPr>
          <w:rFonts w:hint="eastAsia" w:ascii="仿宋_GB2312" w:eastAsia="仿宋_GB2312"/>
          <w:sz w:val="32"/>
          <w:szCs w:val="32"/>
          <w:lang w:val="en-US" w:eastAsia="zh-CN"/>
        </w:rPr>
        <w:t>办公费0.36万元、水费0.24万元、电费0.24万元、邮电费0.60万元、取暖费1.20万元、差旅费0.48万元、公务接待费0.24万元、工会经费2.75万元、其他商品和服务支出0.66万元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湟源县南山渠管理所2023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0.24</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bookmarkStart w:id="6" w:name="_GoBack"/>
      <w:bookmarkEnd w:id="6"/>
      <w:r>
        <w:rPr>
          <w:rFonts w:hint="eastAsia" w:ascii="仿宋_GB2312" w:eastAsia="仿宋_GB2312"/>
          <w:sz w:val="32"/>
          <w:szCs w:val="32"/>
          <w:lang w:val="en-US" w:eastAsia="zh-CN"/>
        </w:rPr>
        <w:t>退休一人</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湟源县南山渠管理所2023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湟源县南山渠管理所2023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湟源县南山渠管理所</w:t>
      </w:r>
      <w:r>
        <w:rPr>
          <w:rFonts w:hint="eastAsia" w:ascii="仿宋_GB2312" w:hAnsi="仿宋" w:eastAsia="仿宋_GB2312"/>
          <w:spacing w:val="-6"/>
          <w:kern w:val="2"/>
          <w:sz w:val="32"/>
          <w:szCs w:val="32"/>
          <w:lang w:val="en-US"/>
        </w:rPr>
        <w:t>机关运行经费财政拨款预算6.77万元，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预算减少0.55万元，下降7.51%。主要是</w:t>
      </w:r>
      <w:r>
        <w:rPr>
          <w:rFonts w:hint="eastAsia" w:ascii="仿宋_GB2312" w:hAnsi="仿宋" w:eastAsia="仿宋_GB2312"/>
          <w:spacing w:val="-6"/>
          <w:kern w:val="2"/>
          <w:sz w:val="32"/>
          <w:szCs w:val="32"/>
          <w:lang w:val="en-US" w:eastAsia="zh-CN"/>
        </w:rPr>
        <w:t>一人退休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湟源县南山渠管理所各单位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湟源县南山渠管理所所属各预算单位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湟源县南山渠管理所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65.00</w:t>
      </w:r>
      <w:r>
        <w:rPr>
          <w:rFonts w:hint="eastAsia" w:ascii="仿宋_GB2312" w:hAnsi="仿宋" w:eastAsia="仿宋_GB2312"/>
          <w:spacing w:val="-6"/>
          <w:kern w:val="2"/>
          <w:sz w:val="32"/>
          <w:szCs w:val="32"/>
          <w:lang w:val="en-US"/>
        </w:rPr>
        <w:t>万元。</w:t>
      </w:r>
    </w:p>
    <w:p>
      <w:pPr>
        <w:rPr>
          <w:sz w:val="32"/>
          <w:szCs w:val="32"/>
        </w:rPr>
      </w:pPr>
    </w:p>
    <w:tbl>
      <w:tblPr>
        <w:tblStyle w:val="6"/>
        <w:tblW w:w="105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1"/>
        <w:gridCol w:w="1078"/>
        <w:gridCol w:w="2293"/>
        <w:gridCol w:w="818"/>
        <w:gridCol w:w="760"/>
        <w:gridCol w:w="1610"/>
        <w:gridCol w:w="882"/>
        <w:gridCol w:w="882"/>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56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4732"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1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2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2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0" w:hRule="atLeast"/>
          <w:jc w:val="center"/>
        </w:trPr>
        <w:tc>
          <w:tcPr>
            <w:tcW w:w="13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南山渠运行维修管护经费</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2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南山渠维修养护人员工资、渠道运行维修养护，保证南山灌区正常运行及南山灌区5.54万亩农田和1万亩林地的实适灌溉。</w:t>
            </w: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南山渠维修养护人员工资、渠道运行维修养护，保证南山灌区正常运行及南山灌区5.54万亩农田和1万亩林地的实适灌溉。</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jc w:val="center"/>
        </w:trPr>
        <w:tc>
          <w:tcPr>
            <w:tcW w:w="13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南山渠维修养护人员工资、渠道运行维修养护，保证南山灌区正常运行及南山灌区5.54万亩农田和1万亩林地的实适灌溉。</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jc w:val="center"/>
        </w:trPr>
        <w:tc>
          <w:tcPr>
            <w:tcW w:w="13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南山渠维修养护人员工资、渠道运行维修养护，保证南山灌区正常运行及南山灌区5.54万亩农田和1万亩林地的实适灌溉。</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水利行业业务管理</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农村水利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反映国家对中型灌区节水配套改造、牧区水利建设、小型水源建设、农村河塘整治以及排灌站、小水电站补助等。</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461F7B"/>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E41659"/>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B1BD5"/>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5C06DF"/>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4D4353"/>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942D63"/>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17023"/>
    <w:rsid w:val="5A032C9A"/>
    <w:rsid w:val="5A3A10D3"/>
    <w:rsid w:val="5A6373D1"/>
    <w:rsid w:val="5A84657D"/>
    <w:rsid w:val="5AAF7962"/>
    <w:rsid w:val="5AB000F4"/>
    <w:rsid w:val="5ABD033C"/>
    <w:rsid w:val="5B0D1864"/>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C17F40"/>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22FFB"/>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6228</Words>
  <Characters>7567</Characters>
  <Lines>43</Lines>
  <Paragraphs>12</Paragraphs>
  <TotalTime>0</TotalTime>
  <ScaleCrop>false</ScaleCrop>
  <LinksUpToDate>false</LinksUpToDate>
  <CharactersWithSpaces>7671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2023-06-08T06:51:31Z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98523A28549F42AFAC7F4A628AEC53E9_13</vt:lpwstr>
  </property>
</Properties>
</file>