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5"/>
              <w:jc w:val="center"/>
              <w:rPr>
                <w:rFonts w:ascii="Cambria" w:hAnsi="Cambria"/>
                <w:b/>
                <w:sz w:val="80"/>
                <w:szCs w:val="80"/>
              </w:rPr>
            </w:pPr>
            <w:r>
              <w:rPr>
                <w:rFonts w:hint="eastAsia" w:ascii="Cambria" w:hAnsi="Cambria"/>
                <w:b/>
                <w:sz w:val="80"/>
                <w:szCs w:val="80"/>
                <w:lang w:val="en-US" w:eastAsia="zh-CN"/>
              </w:rPr>
              <w:t>湟源县农业农村局（本级）</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(一)贯彻执行党和国家关于农牧业工作的方针、政策和法律、法规；研究拟定全县农牧业和农村经济发展战略、中长期发展规划经批准后组织实施；拟定农牧业开发规划并组织实施。</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(二)研究拟定全县农牧业的产业政策，引导农牧业产业的结构调整、资源的合理配置和产品品质改善；负责起草种植业、渔业等产业的地方性规章和办法。负责对全县农牧业行4业的管理。</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(三)研究提出深化农村体制改革的意见；指导农村社会化服务体系建设和乡村集体经济组织、合作经济组织建设；稳定和完善农村基本经营制度；指导、监督减轻农牧民负担和耕地使用流转工作。</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四)研究拟定农牧业产业化经营的方针政策和大宗农产品市场体系建设与发展规划，促进农牧业产前、产中、产后一体化和农产品深加工；组织协调蔬菜产业和农牧业生产资料市场体系建设；收集、预测并发布全市农产品及农牧业生产资料供求情况等农牧业经济信息。</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五)负责全县农牧业资源区划、生态农牧业和农牧业可持续发展工作；指导农用地、宜农滩涂地、宜农垦地、农村可再生能源的开发利用以及农牧业生物物种资源的保护和管理。维护国家渔业权益、指导全县渔业发展和养殖工作。</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六)拟定全县农牧业各产业技术地方标准并组织实施；组织实施农牧业各产业产品及绿色食品的质量监督、认证和农牧业植物新品种的保护工作；组织协调种子、农药等农牧业投入品质量的监测、鉴定和执法监督管力度。</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(七)执行植保、农药标准并监督实施，负责全县的动植物防疫、检疫工作，组织实施植物病虫草鼠害的控制和防除。</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(八)拟定全县农牧业渔业科研、教育、技术推广及其队伍建设的发展规划和有关政策，组织重大科研和技术推广项5目的遴选及实施；指导农牧业渔业科技培训工作。</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(九)负责全县农牧业机械行业管理。</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(十)负责县“菜篮子”办公室的日常工作。</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(十一)承办县政府交办的其他事项。</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农业农村局内机构设置：综合办公室、农业室、财务室、畜牧室、人居环境办公室、</w:t>
      </w:r>
      <w:r>
        <w:rPr>
          <w:rFonts w:hint="eastAsia" w:ascii="仿宋_GB2312" w:eastAsia="仿宋_GB2312" w:cs="仿宋"/>
          <w:sz w:val="32"/>
          <w:szCs w:val="32"/>
          <w:lang w:val="en-US" w:eastAsia="zh-CN"/>
        </w:rPr>
        <w:t>农综中心</w:t>
      </w:r>
      <w:r>
        <w:rPr>
          <w:rFonts w:hint="eastAsia" w:ascii="仿宋_GB2312" w:eastAsia="仿宋_GB2312" w:cs="仿宋"/>
          <w:sz w:val="32"/>
          <w:szCs w:val="32"/>
          <w:lang w:val="zh-CN" w:eastAsia="zh-CN"/>
        </w:rPr>
        <w:t>。202</w:t>
      </w:r>
      <w:r>
        <w:rPr>
          <w:rFonts w:hint="eastAsia" w:ascii="仿宋_GB2312" w:eastAsia="仿宋_GB2312" w:cs="仿宋"/>
          <w:sz w:val="32"/>
          <w:szCs w:val="32"/>
          <w:lang w:val="en-US" w:eastAsia="zh-CN"/>
        </w:rPr>
        <w:t>2</w:t>
      </w:r>
      <w:r>
        <w:rPr>
          <w:rFonts w:hint="eastAsia" w:ascii="仿宋_GB2312" w:eastAsia="仿宋_GB2312" w:cs="仿宋"/>
          <w:sz w:val="32"/>
          <w:szCs w:val="32"/>
          <w:lang w:val="zh-CN" w:eastAsia="zh-CN"/>
        </w:rPr>
        <w:t>年12月在职人员为</w:t>
      </w:r>
      <w:r>
        <w:rPr>
          <w:rFonts w:hint="eastAsia" w:ascii="仿宋_GB2312" w:eastAsia="仿宋_GB2312" w:cs="仿宋"/>
          <w:sz w:val="32"/>
          <w:szCs w:val="32"/>
          <w:lang w:val="en-US" w:eastAsia="zh-CN"/>
        </w:rPr>
        <w:t>9</w:t>
      </w:r>
      <w:r>
        <w:rPr>
          <w:rFonts w:hint="eastAsia" w:ascii="仿宋_GB2312" w:eastAsia="仿宋_GB2312" w:cs="仿宋"/>
          <w:sz w:val="32"/>
          <w:szCs w:val="32"/>
          <w:lang w:val="zh-CN" w:eastAsia="zh-CN"/>
        </w:rPr>
        <w:t>人，工勤1人。</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cs="仿宋"/>
          <w:sz w:val="32"/>
          <w:szCs w:val="32"/>
          <w:lang w:val="zh-CN" w:eastAsia="zh-CN"/>
        </w:rPr>
      </w:pPr>
      <w:r>
        <w:rPr>
          <w:rFonts w:hint="eastAsia" w:ascii="仿宋_GB2312" w:eastAsia="仿宋_GB2312" w:cs="仿宋"/>
          <w:sz w:val="32"/>
          <w:szCs w:val="32"/>
          <w:lang w:val="zh-CN" w:eastAsia="zh-CN"/>
        </w:rPr>
        <w:t>纳入湟源县农业农村局（</w:t>
      </w:r>
      <w:r>
        <w:rPr>
          <w:rFonts w:hint="eastAsia" w:ascii="仿宋_GB2312" w:eastAsia="仿宋_GB2312" w:cs="仿宋"/>
          <w:sz w:val="32"/>
          <w:szCs w:val="32"/>
          <w:lang w:val="en-US" w:eastAsia="zh-CN"/>
        </w:rPr>
        <w:t>本级</w:t>
      </w:r>
      <w:r>
        <w:rPr>
          <w:rFonts w:hint="eastAsia" w:ascii="仿宋_GB2312" w:eastAsia="仿宋_GB2312" w:cs="仿宋"/>
          <w:sz w:val="32"/>
          <w:szCs w:val="32"/>
          <w:lang w:val="zh-CN" w:eastAsia="zh-CN"/>
        </w:rPr>
        <w:t>）202</w:t>
      </w:r>
      <w:r>
        <w:rPr>
          <w:rFonts w:hint="eastAsia" w:ascii="仿宋_GB2312" w:eastAsia="仿宋_GB2312" w:cs="仿宋"/>
          <w:sz w:val="32"/>
          <w:szCs w:val="32"/>
          <w:lang w:val="en-US" w:eastAsia="zh-CN"/>
        </w:rPr>
        <w:t>3</w:t>
      </w:r>
      <w:r>
        <w:rPr>
          <w:rFonts w:hint="eastAsia" w:ascii="仿宋_GB2312" w:eastAsia="仿宋_GB2312" w:cs="仿宋"/>
          <w:sz w:val="32"/>
          <w:szCs w:val="32"/>
          <w:lang w:val="zh-CN" w:eastAsia="zh-CN"/>
        </w:rPr>
        <w:t>年部门预算编制范围的二级预算单位包括：</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2" w:type="dxa"/>
            <w:noWrap w:val="0"/>
            <w:vAlign w:val="top"/>
          </w:tcPr>
          <w:p>
            <w:pPr>
              <w:ind w:firstLine="160" w:firstLineChars="50"/>
              <w:rPr>
                <w:rFonts w:hint="eastAsia" w:ascii="仿宋_GB2312" w:eastAsia="仿宋_GB2312"/>
                <w:sz w:val="32"/>
                <w:szCs w:val="32"/>
              </w:rPr>
            </w:pPr>
            <w:r>
              <w:rPr>
                <w:rFonts w:hint="eastAsia" w:ascii="仿宋" w:hAnsi="仿宋" w:eastAsia="仿宋" w:cs="仿宋"/>
                <w:sz w:val="32"/>
                <w:szCs w:val="32"/>
              </w:rPr>
              <w:t>序号</w:t>
            </w:r>
          </w:p>
        </w:tc>
        <w:tc>
          <w:tcPr>
            <w:tcW w:w="6387" w:type="dxa"/>
            <w:noWrap w:val="0"/>
            <w:vAlign w:val="top"/>
          </w:tcPr>
          <w:p>
            <w:pPr>
              <w:jc w:val="center"/>
              <w:rPr>
                <w:rFonts w:hint="eastAsia" w:ascii="仿宋_GB2312" w:eastAsia="仿宋_GB2312"/>
                <w:sz w:val="32"/>
                <w:szCs w:val="32"/>
              </w:rPr>
            </w:pPr>
            <w:r>
              <w:rPr>
                <w:rFonts w:hint="eastAsia" w:ascii="仿宋" w:hAnsi="仿宋" w:eastAsia="仿宋" w:cs="仿宋"/>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2" w:type="dxa"/>
            <w:noWrap w:val="0"/>
            <w:vAlign w:val="top"/>
          </w:tcPr>
          <w:p>
            <w:pPr>
              <w:jc w:val="center"/>
              <w:rPr>
                <w:rFonts w:hint="eastAsia" w:ascii="仿宋_GB2312" w:eastAsia="仿宋_GB2312"/>
                <w:sz w:val="32"/>
                <w:szCs w:val="32"/>
              </w:rPr>
            </w:pPr>
            <w:r>
              <w:rPr>
                <w:rFonts w:hint="eastAsia" w:ascii="仿宋" w:hAnsi="仿宋" w:eastAsia="仿宋" w:cs="仿宋"/>
                <w:sz w:val="32"/>
                <w:szCs w:val="32"/>
              </w:rPr>
              <w:t>1</w:t>
            </w:r>
          </w:p>
        </w:tc>
        <w:tc>
          <w:tcPr>
            <w:tcW w:w="6387"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9359.74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90.45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44.01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2.51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17134.01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20.02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6500.00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9359.74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23791.00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14431.26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23791.00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23791.00</w:t>
            </w:r>
          </w:p>
        </w:tc>
      </w:tr>
    </w:tbl>
    <w:tbl>
      <w:tblPr>
        <w:tblStyle w:val="8"/>
        <w:tblpPr w:leftFromText="180" w:rightFromText="180" w:vertAnchor="text" w:horzAnchor="page" w:tblpXSpec="center" w:tblpY="618"/>
        <w:tblOverlap w:val="never"/>
        <w:tblW w:w="1149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835"/>
        <w:gridCol w:w="823"/>
      </w:tblGrid>
      <w:tr>
        <w:tblPrEx>
          <w:tblCellMar>
            <w:top w:w="0" w:type="dxa"/>
            <w:left w:w="108" w:type="dxa"/>
            <w:bottom w:w="0" w:type="dxa"/>
            <w:right w:w="108" w:type="dxa"/>
          </w:tblCellMar>
        </w:tblPrEx>
        <w:trPr>
          <w:trHeight w:val="392" w:hRule="atLeast"/>
          <w:jc w:val="center"/>
        </w:trPr>
        <w:tc>
          <w:tcPr>
            <w:tcW w:w="1149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9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9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23791.00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14431.26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9359.74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23791.00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14431.26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9359.74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23791.00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14431.26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9359.74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bookmarkStart w:id="0" w:name="RANGE!A1:K38"/>
      <w:bookmarkEnd w:id="0"/>
      <w:r>
        <w:br w:type="page"/>
      </w:r>
    </w:p>
    <w:tbl>
      <w:tblPr>
        <w:tblStyle w:val="8"/>
        <w:tblW w:w="11055" w:type="dxa"/>
        <w:jc w:val="center"/>
        <w:tblLayout w:type="fixed"/>
        <w:tblCellMar>
          <w:top w:w="0" w:type="dxa"/>
          <w:left w:w="108" w:type="dxa"/>
          <w:bottom w:w="0" w:type="dxa"/>
          <w:right w:w="108" w:type="dxa"/>
        </w:tblCellMar>
      </w:tblPr>
      <w:tblGrid>
        <w:gridCol w:w="1100"/>
        <w:gridCol w:w="3748"/>
        <w:gridCol w:w="1160"/>
        <w:gridCol w:w="908"/>
        <w:gridCol w:w="1122"/>
        <w:gridCol w:w="946"/>
        <w:gridCol w:w="1034"/>
        <w:gridCol w:w="1037"/>
      </w:tblGrid>
      <w:tr>
        <w:tblPrEx>
          <w:tblCellMar>
            <w:top w:w="0" w:type="dxa"/>
            <w:left w:w="108" w:type="dxa"/>
            <w:bottom w:w="0" w:type="dxa"/>
            <w:right w:w="108" w:type="dxa"/>
          </w:tblCellMar>
        </w:tblPrEx>
        <w:trPr>
          <w:trHeight w:val="187" w:hRule="atLeast"/>
          <w:jc w:val="center"/>
        </w:trPr>
        <w:tc>
          <w:tcPr>
            <w:tcW w:w="11055" w:type="dxa"/>
            <w:gridSpan w:val="8"/>
            <w:tcBorders>
              <w:top w:val="nil"/>
              <w:left w:val="nil"/>
              <w:bottom w:val="nil"/>
              <w:right w:val="nil"/>
            </w:tcBorders>
            <w:noWrap/>
            <w:vAlign w:val="center"/>
          </w:tcPr>
          <w:p>
            <w:pPr>
              <w:widowControl/>
              <w:ind w:right="603"/>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05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05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9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23791.00</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361.04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23429.97</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90.45</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90.45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90.19</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90.19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21.95</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10.98</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10.98</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57.26</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57.26</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0.26</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0.26</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0.26</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0.26</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44.01</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44.01</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33.58</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33.58</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10.44</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城乡社区支出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其他城乡社区支出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2129999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其他城乡社区支出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17134.01</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206.55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16927.46</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9888.26</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206.55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9681.71</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579.85</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206.55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373.30</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2130108</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病虫害控制</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548.46</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548.46</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2130119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防灾救灾</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29.45</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29.45</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2130122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农业生产发展</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6398.93</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6398.93</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2130124</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农村合作经济</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800.00</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800.00</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2130135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农业资源保护修复与利用</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733.76</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733.76</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2130153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农田建设</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642.86</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642.86</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其他农业农村支出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154.95</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154.95</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巩固脱贫攻坚成果衔接乡村振兴</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4390.77</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4390.77</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生产发展</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60.60</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60.60</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其他巩固脱贫攻坚成果衔接乡村振兴支出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4330.17</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4330.17</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185.78</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185.78</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其他农村综合改革支出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185.78</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185.78</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21308</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普惠金融发展支出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2669.19</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2669.19</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2130803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农业保险保费补贴</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2669.19</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2669.19</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20.02</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20.02</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20.02</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20.02</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20.02</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20.02</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6500.00</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6500.00</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其他政府性基金及对应专项债务收入安排的支出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6500.00</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6500.00</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其他地方自行试点项目收益专项债券收入安排的支出</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6500.00</w:t>
            </w:r>
          </w:p>
        </w:tc>
        <w:tc>
          <w:tcPr>
            <w:tcW w:w="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6500.00</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pPr>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br w:type="page"/>
      </w:r>
    </w:p>
    <w:tbl>
      <w:tblPr>
        <w:tblStyle w:val="8"/>
        <w:tblpPr w:leftFromText="180" w:rightFromText="180" w:vertAnchor="text" w:horzAnchor="page" w:tblpXSpec="center" w:tblpY="183"/>
        <w:tblOverlap w:val="never"/>
        <w:tblW w:w="10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1084"/>
        <w:gridCol w:w="2081"/>
        <w:gridCol w:w="1178"/>
        <w:gridCol w:w="1155"/>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6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9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08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7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5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5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9359.74</w:t>
            </w: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23791.00</w:t>
            </w: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17291.00</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9359.74</w:t>
            </w: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90.45</w:t>
            </w: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90.45</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44.01</w:t>
            </w: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44.01</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w:t>
            </w: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17134.01</w:t>
            </w: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17134.01</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20.02</w:t>
            </w: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20.02</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6500.00</w:t>
            </w: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14431.26</w:t>
            </w: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7931.26</w:t>
            </w:r>
          </w:p>
        </w:tc>
        <w:tc>
          <w:tcPr>
            <w:tcW w:w="2081" w:type="dxa"/>
            <w:shd w:val="clear" w:color="auto" w:fill="FFFFFF"/>
            <w:noWrap/>
            <w:vAlign w:val="center"/>
          </w:tcPr>
          <w:p>
            <w:pPr>
              <w:widowControl/>
              <w:jc w:val="left"/>
              <w:rPr>
                <w:rFonts w:ascii="宋体" w:hAnsi="宋体" w:cs="宋体"/>
                <w:kern w:val="0"/>
                <w:sz w:val="20"/>
              </w:rPr>
            </w:pP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6500.00</w:t>
            </w:r>
          </w:p>
        </w:tc>
        <w:tc>
          <w:tcPr>
            <w:tcW w:w="2081" w:type="dxa"/>
            <w:shd w:val="clear" w:color="auto" w:fill="FFFFFF"/>
            <w:noWrap/>
            <w:vAlign w:val="center"/>
          </w:tcPr>
          <w:p>
            <w:pPr>
              <w:widowControl/>
              <w:jc w:val="left"/>
              <w:rPr>
                <w:rFonts w:ascii="宋体" w:hAnsi="宋体" w:cs="宋体"/>
                <w:kern w:val="0"/>
                <w:sz w:val="20"/>
              </w:rPr>
            </w:pP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23791.00</w:t>
            </w:r>
          </w:p>
        </w:tc>
        <w:tc>
          <w:tcPr>
            <w:tcW w:w="20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7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23791.00</w:t>
            </w:r>
          </w:p>
        </w:tc>
        <w:tc>
          <w:tcPr>
            <w:tcW w:w="11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17291.00</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6500.00</w:t>
            </w: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06"/>
        <w:gridCol w:w="1380"/>
        <w:gridCol w:w="1437"/>
        <w:gridCol w:w="143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5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5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9359.74</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361.04</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8998.71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90.45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90.45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90.19</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90.19</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21.95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10.98</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10.98</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57.26</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57.26</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0.26</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0.26</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0.26</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0.26</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44.01</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44.01</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44.01</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44.01</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33.58</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33.58</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10.44</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10.44</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9205.26</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206.55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8998.71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3004.39</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206.55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2797.84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579.85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206.55</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373.30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病虫害控制</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农业生产发展</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2423.04</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2423.04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巩固脱贫攻坚成果衔接乡村振兴</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4330.00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其他巩固脱贫攻坚成果衔接乡村振兴支出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4330.00</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普惠金融发展支出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1870.87</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1870.87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农业保险保费补贴</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1870.87</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1870.87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20.02</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20.02</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20.02</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20.02</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20.02</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20.02</w:t>
            </w:r>
          </w:p>
        </w:tc>
        <w:tc>
          <w:tcPr>
            <w:tcW w:w="14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45" w:type="dxa"/>
        <w:jc w:val="center"/>
        <w:tblLayout w:type="fixed"/>
        <w:tblCellMar>
          <w:top w:w="0" w:type="dxa"/>
          <w:left w:w="108" w:type="dxa"/>
          <w:bottom w:w="0" w:type="dxa"/>
          <w:right w:w="108" w:type="dxa"/>
        </w:tblCellMar>
      </w:tblPr>
      <w:tblGrid>
        <w:gridCol w:w="650"/>
        <w:gridCol w:w="650"/>
        <w:gridCol w:w="2783"/>
        <w:gridCol w:w="2440"/>
        <w:gridCol w:w="2410"/>
        <w:gridCol w:w="231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08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7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4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08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361.04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341.62</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259.26</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259.26</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56.68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56.68</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73.57</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73.57</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56.88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56.88</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21.95</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21.95</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10.98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10.98</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8.48</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10.44</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20.02</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20.02</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19.42</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7.92</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82.35</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82.35</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56.42</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56.42</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25.09</w:t>
            </w: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25.09</w:t>
            </w: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个人农业生产补贴</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7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965"/>
        <w:gridCol w:w="965"/>
        <w:gridCol w:w="965"/>
        <w:gridCol w:w="965"/>
        <w:gridCol w:w="965"/>
        <w:gridCol w:w="965"/>
        <w:gridCol w:w="965"/>
        <w:gridCol w:w="965"/>
        <w:gridCol w:w="965"/>
        <w:gridCol w:w="96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7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27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7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3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41"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16"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11"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16"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11"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1.42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0.42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1.42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816"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0.42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湟源县农业农村局（本级）2023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湟源县农业农村局（本级）</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一般公共预算拨款收入9359.74万元，上年结</w:t>
      </w:r>
      <w:r>
        <w:rPr>
          <w:rFonts w:hint="eastAsia" w:ascii="仿宋_GB2312" w:eastAsia="仿宋_GB2312"/>
          <w:sz w:val="32"/>
          <w:szCs w:val="32"/>
          <w:highlight w:val="none"/>
          <w:lang w:val="en-US" w:eastAsia="zh-CN"/>
        </w:rPr>
        <w:t>转14431.2</w:t>
      </w:r>
      <w:r>
        <w:rPr>
          <w:rFonts w:hint="eastAsia" w:ascii="仿宋_GB2312" w:eastAsia="仿宋_GB2312"/>
          <w:sz w:val="32"/>
          <w:szCs w:val="32"/>
          <w:lang w:val="en-US" w:eastAsia="zh-CN"/>
        </w:rPr>
        <w:t>6万元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社会保障和就业支出90.45万元，卫生健康支出44.01万元，城乡社区支出2.51万元，农林水支出17134.01万元，住房保障支出20.02万元，其他支出6500.00万元</w:t>
      </w:r>
      <w:r>
        <w:rPr>
          <w:rFonts w:hint="eastAsia" w:ascii="仿宋_GB2312" w:eastAsia="仿宋_GB2312"/>
          <w:sz w:val="32"/>
          <w:szCs w:val="32"/>
        </w:rPr>
        <w:t>。</w:t>
      </w:r>
      <w:r>
        <w:rPr>
          <w:rFonts w:hint="eastAsia" w:ascii="仿宋_GB2312" w:eastAsia="仿宋_GB2312"/>
          <w:sz w:val="32"/>
          <w:szCs w:val="32"/>
          <w:lang w:val="en-US" w:eastAsia="zh-CN"/>
        </w:rPr>
        <w:t>湟源县农业农村局（本级）2023</w:t>
      </w:r>
      <w:r>
        <w:rPr>
          <w:rFonts w:hint="eastAsia" w:ascii="仿宋_GB2312" w:eastAsia="仿宋_GB2312"/>
          <w:sz w:val="32"/>
          <w:szCs w:val="32"/>
        </w:rPr>
        <w:t>年收支总预算</w:t>
      </w:r>
      <w:r>
        <w:rPr>
          <w:rFonts w:hint="eastAsia" w:ascii="仿宋_GB2312" w:eastAsia="仿宋_GB2312"/>
          <w:sz w:val="32"/>
          <w:szCs w:val="32"/>
          <w:lang w:val="en-US" w:eastAsia="zh-CN"/>
        </w:rPr>
        <w:t>23791.00</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湟源县农业农村局（本级）2023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湟源县农业农村局（本级）2023</w:t>
      </w:r>
      <w:r>
        <w:rPr>
          <w:rFonts w:hint="eastAsia" w:ascii="仿宋_GB2312" w:eastAsia="仿宋_GB2312"/>
          <w:sz w:val="32"/>
          <w:szCs w:val="32"/>
        </w:rPr>
        <w:t>年收入预算</w:t>
      </w:r>
      <w:r>
        <w:rPr>
          <w:rFonts w:hint="eastAsia" w:ascii="仿宋_GB2312" w:eastAsia="仿宋_GB2312"/>
          <w:sz w:val="32"/>
          <w:szCs w:val="32"/>
          <w:lang w:val="en-US" w:eastAsia="zh-CN"/>
        </w:rPr>
        <w:t>23791.00</w:t>
      </w:r>
      <w:r>
        <w:rPr>
          <w:rFonts w:hint="eastAsia" w:ascii="仿宋_GB2312" w:eastAsia="仿宋_GB2312"/>
          <w:sz w:val="32"/>
          <w:szCs w:val="32"/>
        </w:rPr>
        <w:t>万元，其中：</w:t>
      </w:r>
      <w:r>
        <w:rPr>
          <w:rFonts w:hint="eastAsia" w:ascii="仿宋_GB2312" w:eastAsia="仿宋_GB2312"/>
          <w:sz w:val="32"/>
          <w:szCs w:val="32"/>
          <w:lang w:val="en-US" w:eastAsia="zh-CN"/>
        </w:rPr>
        <w:t>上年结转14431.26万元，占60.66%；一般公共预算拨款收入9359.74万元，占39.34%</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6.5pt;width:362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湟源县农业农村局（本级）2023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湟源县农业农村局（本级）2023</w:t>
      </w:r>
      <w:r>
        <w:rPr>
          <w:rFonts w:hint="eastAsia" w:ascii="仿宋_GB2312" w:eastAsia="仿宋_GB2312"/>
          <w:sz w:val="32"/>
          <w:szCs w:val="32"/>
        </w:rPr>
        <w:t>年支出预算</w:t>
      </w:r>
      <w:r>
        <w:rPr>
          <w:rFonts w:hint="eastAsia" w:ascii="仿宋_GB2312" w:eastAsia="仿宋_GB2312"/>
          <w:sz w:val="32"/>
          <w:szCs w:val="32"/>
          <w:lang w:val="en-US" w:eastAsia="zh-CN"/>
        </w:rPr>
        <w:t>23791.00</w:t>
      </w:r>
      <w:r>
        <w:rPr>
          <w:rFonts w:hint="eastAsia" w:ascii="仿宋_GB2312" w:eastAsia="仿宋_GB2312"/>
          <w:sz w:val="32"/>
          <w:szCs w:val="32"/>
        </w:rPr>
        <w:t>万元，其中：</w:t>
      </w:r>
      <w:r>
        <w:rPr>
          <w:rFonts w:hint="eastAsia" w:ascii="仿宋_GB2312" w:eastAsia="仿宋_GB2312"/>
          <w:sz w:val="32"/>
          <w:szCs w:val="32"/>
          <w:lang w:val="en-US" w:eastAsia="zh-CN"/>
        </w:rPr>
        <w:t>基本支出361.04万元，占1.52%；项目支出23429.97万元，占98.48%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8.45pt;width:344.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湟源县农业农村局（本级）2023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湟源县农业农村局（本级）2023</w:t>
      </w:r>
      <w:r>
        <w:rPr>
          <w:rFonts w:hint="eastAsia" w:ascii="仿宋_GB2312" w:eastAsia="仿宋_GB2312"/>
          <w:sz w:val="32"/>
          <w:szCs w:val="32"/>
        </w:rPr>
        <w:t>年财政拨款收支总预算</w:t>
      </w:r>
      <w:r>
        <w:rPr>
          <w:rFonts w:hint="eastAsia" w:ascii="仿宋_GB2312" w:eastAsia="仿宋_GB2312"/>
          <w:sz w:val="32"/>
          <w:szCs w:val="32"/>
          <w:highlight w:val="none"/>
          <w:lang w:val="en-US" w:eastAsia="zh-CN"/>
        </w:rPr>
        <w:t>23791.00</w:t>
      </w:r>
      <w:r>
        <w:rPr>
          <w:rFonts w:hint="eastAsia" w:ascii="仿宋_GB2312" w:eastAsia="仿宋_GB2312"/>
          <w:sz w:val="32"/>
          <w:szCs w:val="32"/>
          <w:highlight w:val="none"/>
        </w:rPr>
        <w:t>万</w:t>
      </w:r>
      <w:r>
        <w:rPr>
          <w:rFonts w:hint="eastAsia" w:ascii="仿宋_GB2312" w:eastAsia="仿宋_GB2312"/>
          <w:sz w:val="32"/>
          <w:szCs w:val="32"/>
        </w:rPr>
        <w:t>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增加1217.22</w:t>
      </w:r>
      <w:r>
        <w:rPr>
          <w:rFonts w:hint="eastAsia" w:ascii="仿宋_GB2312" w:eastAsia="仿宋_GB2312"/>
          <w:sz w:val="32"/>
          <w:szCs w:val="32"/>
        </w:rPr>
        <w:t>万元，主要是</w:t>
      </w:r>
      <w:r>
        <w:rPr>
          <w:rFonts w:hint="eastAsia" w:ascii="仿宋_GB2312" w:eastAsia="仿宋_GB2312"/>
          <w:sz w:val="32"/>
          <w:szCs w:val="32"/>
          <w:lang w:val="en-US" w:eastAsia="zh-CN"/>
        </w:rPr>
        <w:t>项目增加，主要为农业保险补贴项目</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一般公共预算拨款收入9359.74万元，上年结转7931.26万元；政府性基金预算拨款收入0.00万元，上年结转6500.00万元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社会保障和就业支出90.45万元， 卫生健康支出44.01万元， 城乡社区支出2.51万元， 农林水支出17134.01万元， 住房保障支出20.02万元， 其他支出6500.00万元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8.2pt;width:343.8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湟源县农业农村局（本级）2023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湟源县农业农村局（本级）2023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9359.74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减少3371.32</w:t>
      </w:r>
      <w:r>
        <w:rPr>
          <w:rFonts w:hint="eastAsia" w:ascii="仿宋_GB2312" w:eastAsia="仿宋_GB2312"/>
          <w:sz w:val="32"/>
          <w:szCs w:val="32"/>
        </w:rPr>
        <w:t>万元，主要是</w:t>
      </w:r>
      <w:r>
        <w:rPr>
          <w:rFonts w:hint="eastAsia" w:ascii="仿宋_GB2312" w:eastAsia="仿宋_GB2312"/>
          <w:sz w:val="32"/>
          <w:szCs w:val="32"/>
          <w:lang w:val="en-US" w:eastAsia="zh-CN"/>
        </w:rPr>
        <w:t>项目</w:t>
      </w:r>
      <w:r>
        <w:rPr>
          <w:rFonts w:hint="eastAsia" w:ascii="仿宋_GB2312" w:eastAsia="仿宋_GB2312"/>
          <w:color w:val="auto"/>
          <w:sz w:val="32"/>
          <w:szCs w:val="32"/>
          <w:highlight w:val="none"/>
          <w:lang w:val="en-US" w:eastAsia="zh-CN"/>
        </w:rPr>
        <w:t>减少，项目为耕地地力保护、化肥减量增效、农田建设补助资金。</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8.85pt;width:347.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社会保障和就业支出90.45万元，占0.97%；卫生健康支出44.01万元，占0.47%；农林水支出9205.26万元，占98.35%；住房保障支出20.02万元，占0.21%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3.3pt;width:354.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减少0.40</w:t>
      </w:r>
      <w:r>
        <w:rPr>
          <w:rFonts w:hint="eastAsia" w:ascii="仿宋_GB2312" w:eastAsia="仿宋_GB2312"/>
          <w:sz w:val="32"/>
          <w:szCs w:val="32"/>
        </w:rPr>
        <w:t>万元，</w:t>
      </w:r>
      <w:r>
        <w:rPr>
          <w:rFonts w:hint="eastAsia" w:ascii="仿宋_GB2312" w:eastAsia="仿宋_GB2312"/>
          <w:sz w:val="32"/>
          <w:szCs w:val="32"/>
          <w:lang w:val="en-US" w:eastAsia="zh-CN"/>
        </w:rPr>
        <w:t>下降1.79</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10.98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减少0.19</w:t>
      </w:r>
      <w:r>
        <w:rPr>
          <w:rFonts w:hint="eastAsia" w:ascii="仿宋_GB2312" w:eastAsia="仿宋_GB2312"/>
          <w:sz w:val="32"/>
          <w:szCs w:val="32"/>
        </w:rPr>
        <w:t>万元，</w:t>
      </w:r>
      <w:r>
        <w:rPr>
          <w:rFonts w:hint="eastAsia" w:ascii="仿宋_GB2312" w:eastAsia="仿宋_GB2312"/>
          <w:sz w:val="32"/>
          <w:szCs w:val="32"/>
          <w:lang w:val="en-US" w:eastAsia="zh-CN"/>
        </w:rPr>
        <w:t>下降1.70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57.26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增加16.75</w:t>
      </w:r>
      <w:r>
        <w:rPr>
          <w:rFonts w:hint="eastAsia" w:ascii="仿宋_GB2312" w:eastAsia="仿宋_GB2312"/>
          <w:sz w:val="32"/>
          <w:szCs w:val="32"/>
        </w:rPr>
        <w:t>万元，</w:t>
      </w:r>
      <w:r>
        <w:rPr>
          <w:rFonts w:hint="eastAsia" w:ascii="仿宋_GB2312" w:eastAsia="仿宋_GB2312"/>
          <w:sz w:val="32"/>
          <w:szCs w:val="32"/>
          <w:lang w:val="en-US" w:eastAsia="zh-CN"/>
        </w:rPr>
        <w:t>增长41.35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养老基数增加。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减少0.08</w:t>
      </w:r>
      <w:r>
        <w:rPr>
          <w:rFonts w:hint="eastAsia" w:ascii="仿宋_GB2312" w:eastAsia="仿宋_GB2312"/>
          <w:sz w:val="32"/>
          <w:szCs w:val="32"/>
        </w:rPr>
        <w:t>万元，</w:t>
      </w:r>
      <w:r>
        <w:rPr>
          <w:rFonts w:hint="eastAsia" w:ascii="仿宋_GB2312" w:eastAsia="仿宋_GB2312"/>
          <w:sz w:val="32"/>
          <w:szCs w:val="32"/>
          <w:lang w:val="en-US" w:eastAsia="zh-CN"/>
        </w:rPr>
        <w:t>下降23.53</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增加3.21</w:t>
      </w:r>
      <w:r>
        <w:rPr>
          <w:rFonts w:hint="eastAsia" w:ascii="仿宋_GB2312" w:eastAsia="仿宋_GB2312"/>
          <w:sz w:val="32"/>
          <w:szCs w:val="32"/>
        </w:rPr>
        <w:t>万元，</w:t>
      </w:r>
      <w:r>
        <w:rPr>
          <w:rFonts w:hint="eastAsia" w:ascii="仿宋_GB2312" w:eastAsia="仿宋_GB2312"/>
          <w:sz w:val="32"/>
          <w:szCs w:val="32"/>
          <w:lang w:val="en-US" w:eastAsia="zh-CN"/>
        </w:rPr>
        <w:t>增长10.57</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医疗基数增加。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10.44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减少2.98</w:t>
      </w:r>
      <w:r>
        <w:rPr>
          <w:rFonts w:hint="eastAsia" w:ascii="仿宋_GB2312" w:eastAsia="仿宋_GB2312"/>
          <w:sz w:val="32"/>
          <w:szCs w:val="32"/>
        </w:rPr>
        <w:t>万元，</w:t>
      </w:r>
      <w:r>
        <w:rPr>
          <w:rFonts w:hint="eastAsia" w:ascii="仿宋_GB2312" w:eastAsia="仿宋_GB2312"/>
          <w:sz w:val="32"/>
          <w:szCs w:val="32"/>
          <w:lang w:val="en-US" w:eastAsia="zh-CN"/>
        </w:rPr>
        <w:t>下降22.21</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579.85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增加305.52</w:t>
      </w:r>
      <w:r>
        <w:rPr>
          <w:rFonts w:hint="eastAsia" w:ascii="仿宋_GB2312" w:eastAsia="仿宋_GB2312"/>
          <w:sz w:val="32"/>
          <w:szCs w:val="32"/>
        </w:rPr>
        <w:t>万元，</w:t>
      </w:r>
      <w:r>
        <w:rPr>
          <w:rFonts w:hint="eastAsia" w:ascii="仿宋_GB2312" w:eastAsia="仿宋_GB2312"/>
          <w:sz w:val="32"/>
          <w:szCs w:val="32"/>
          <w:lang w:val="en-US" w:eastAsia="zh-CN"/>
        </w:rPr>
        <w:t>增长111.37</w:t>
      </w:r>
      <w:r>
        <w:rPr>
          <w:rFonts w:hint="eastAsia" w:ascii="仿宋_GB2312" w:eastAsia="仿宋_GB2312"/>
          <w:sz w:val="32"/>
          <w:szCs w:val="32"/>
        </w:rPr>
        <w:t>%。主要是</w:t>
      </w:r>
      <w:r>
        <w:rPr>
          <w:rFonts w:hint="eastAsia" w:ascii="仿宋_GB2312" w:eastAsia="仿宋_GB2312"/>
          <w:sz w:val="32"/>
          <w:szCs w:val="32"/>
          <w:lang w:val="en-US" w:eastAsia="zh-CN"/>
        </w:rPr>
        <w:t>县级配套资金增加。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病虫害控制</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项</w:t>
      </w:r>
      <w:r>
        <w:rPr>
          <w:rFonts w:hint="eastAsia" w:ascii="仿宋_GB2312" w:eastAsia="仿宋_GB2312"/>
          <w:sz w:val="32"/>
          <w:szCs w:val="32"/>
          <w:highlight w:val="none"/>
          <w:lang w:val="en-US" w:eastAsia="zh-CN"/>
        </w:rPr>
        <w:t>目新增，</w:t>
      </w:r>
      <w:r>
        <w:rPr>
          <w:rFonts w:hint="eastAsia" w:ascii="仿宋_GB2312" w:eastAsia="仿宋_GB2312"/>
          <w:sz w:val="32"/>
          <w:szCs w:val="32"/>
          <w:lang w:val="en-US" w:eastAsia="zh-CN"/>
        </w:rPr>
        <w:t>项目是动物强制免疫。</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农业生产发展</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2423.04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减少2971.00</w:t>
      </w:r>
      <w:r>
        <w:rPr>
          <w:rFonts w:hint="eastAsia" w:ascii="仿宋_GB2312" w:eastAsia="仿宋_GB2312"/>
          <w:sz w:val="32"/>
          <w:szCs w:val="32"/>
        </w:rPr>
        <w:t>万元，</w:t>
      </w:r>
      <w:r>
        <w:rPr>
          <w:rFonts w:hint="eastAsia" w:ascii="仿宋_GB2312" w:eastAsia="仿宋_GB2312"/>
          <w:sz w:val="32"/>
          <w:szCs w:val="32"/>
          <w:lang w:val="en-US" w:eastAsia="zh-CN"/>
        </w:rPr>
        <w:t>下降55.08</w:t>
      </w:r>
      <w:r>
        <w:rPr>
          <w:rFonts w:hint="eastAsia" w:ascii="仿宋_GB2312" w:eastAsia="仿宋_GB2312"/>
          <w:sz w:val="32"/>
          <w:szCs w:val="32"/>
        </w:rPr>
        <w:t>%。主要是</w:t>
      </w:r>
      <w:r>
        <w:rPr>
          <w:rFonts w:hint="eastAsia" w:ascii="仿宋_GB2312" w:eastAsia="仿宋_GB2312"/>
          <w:sz w:val="32"/>
          <w:szCs w:val="32"/>
          <w:lang w:val="en-US" w:eastAsia="zh-CN"/>
        </w:rPr>
        <w:t>项目资金减少，项目为2022年化肥减量增效、耕地地力保护补贴等。</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农田建设</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减少1025.00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项目减少，项目为农田建设补助资金。</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其他农业农村支出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减少279.00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项目减少，项目为2022年财政衔接推进乡村振兴补助资金。</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巩固脱贫衔接乡村振兴</w:t>
      </w:r>
      <w:r>
        <w:rPr>
          <w:rFonts w:hint="eastAsia" w:ascii="仿宋_GB2312" w:eastAsia="仿宋_GB2312"/>
          <w:sz w:val="32"/>
          <w:szCs w:val="32"/>
        </w:rPr>
        <w:t>（款）</w:t>
      </w:r>
      <w:r>
        <w:rPr>
          <w:rFonts w:hint="eastAsia" w:ascii="仿宋_GB2312" w:eastAsia="仿宋_GB2312"/>
          <w:sz w:val="32"/>
          <w:szCs w:val="32"/>
          <w:lang w:val="en-US" w:eastAsia="zh-CN"/>
        </w:rPr>
        <w:t>生产发展</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减少4250.40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项目减少，项目为2022年财政衔接推进乡村振兴补助资金。</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巩固脱贫攻坚成果衔接乡村振兴</w:t>
      </w:r>
      <w:r>
        <w:rPr>
          <w:rFonts w:hint="eastAsia" w:ascii="仿宋_GB2312" w:eastAsia="仿宋_GB2312"/>
          <w:sz w:val="32"/>
          <w:szCs w:val="32"/>
        </w:rPr>
        <w:t>（款）</w:t>
      </w:r>
      <w:r>
        <w:rPr>
          <w:rFonts w:hint="eastAsia" w:ascii="仿宋_GB2312" w:eastAsia="仿宋_GB2312"/>
          <w:sz w:val="32"/>
          <w:szCs w:val="32"/>
          <w:lang w:val="en-US" w:eastAsia="zh-CN"/>
        </w:rPr>
        <w:t>其他巩固脱贫攻坚成果衔接乡村振兴支出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4330.00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增加4330.00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项</w:t>
      </w:r>
      <w:r>
        <w:rPr>
          <w:rFonts w:hint="eastAsia" w:ascii="仿宋_GB2312" w:eastAsia="仿宋_GB2312"/>
          <w:sz w:val="32"/>
          <w:szCs w:val="32"/>
          <w:highlight w:val="none"/>
          <w:lang w:val="en-US" w:eastAsia="zh-CN"/>
        </w:rPr>
        <w:t>目新增</w:t>
      </w:r>
      <w:r>
        <w:rPr>
          <w:rFonts w:hint="eastAsia" w:ascii="仿宋_GB2312" w:eastAsia="仿宋_GB2312"/>
          <w:sz w:val="32"/>
          <w:szCs w:val="32"/>
          <w:lang w:val="en-US" w:eastAsia="zh-CN"/>
        </w:rPr>
        <w:t>，项目为财政衔接推进乡村振兴补助资金。</w:t>
      </w:r>
    </w:p>
    <w:p>
      <w:pPr>
        <w:ind w:firstLine="645"/>
        <w:rPr>
          <w:rFonts w:hint="eastAsia" w:ascii="仿宋_GB2312" w:eastAsia="仿宋_GB2312"/>
          <w:sz w:val="32"/>
          <w:szCs w:val="32"/>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对村集体经济组织的补助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减少1300.00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项目减少，项目为2022年中央农村综合改革转移支付资金。</w:t>
      </w:r>
    </w:p>
    <w:p>
      <w:pPr>
        <w:ind w:firstLine="645"/>
        <w:rPr>
          <w:rFonts w:hint="eastAsia" w:ascii="仿宋_GB2312" w:eastAsia="仿宋_GB2312"/>
          <w:sz w:val="32"/>
          <w:szCs w:val="32"/>
          <w:lang w:val="en-US" w:eastAsia="zh-CN"/>
        </w:rPr>
      </w:pPr>
      <w:r>
        <w:rPr>
          <w:rFonts w:hint="eastAsia" w:ascii="仿宋_GB2312" w:eastAsia="仿宋_GB2312"/>
          <w:sz w:val="32"/>
          <w:szCs w:val="32"/>
        </w:rPr>
        <w:t>15、</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普惠金融发展支出</w:t>
      </w:r>
      <w:r>
        <w:rPr>
          <w:rFonts w:hint="eastAsia" w:ascii="仿宋_GB2312" w:eastAsia="仿宋_GB2312"/>
          <w:sz w:val="32"/>
          <w:szCs w:val="32"/>
        </w:rPr>
        <w:t>（款）</w:t>
      </w:r>
      <w:r>
        <w:rPr>
          <w:rFonts w:hint="eastAsia" w:ascii="仿宋_GB2312" w:eastAsia="仿宋_GB2312"/>
          <w:sz w:val="32"/>
          <w:szCs w:val="32"/>
          <w:lang w:val="en-US" w:eastAsia="zh-CN"/>
        </w:rPr>
        <w:t>农业保险保费补贴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1870.87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增加1870.87</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项目</w:t>
      </w:r>
      <w:r>
        <w:rPr>
          <w:rFonts w:hint="eastAsia" w:ascii="仿宋_GB2312" w:eastAsia="仿宋_GB2312"/>
          <w:sz w:val="32"/>
          <w:szCs w:val="32"/>
          <w:highlight w:val="none"/>
          <w:lang w:val="en-US" w:eastAsia="zh-CN"/>
        </w:rPr>
        <w:t>新增</w:t>
      </w:r>
      <w:r>
        <w:rPr>
          <w:rFonts w:hint="eastAsia" w:ascii="仿宋_GB2312" w:eastAsia="仿宋_GB2312"/>
          <w:sz w:val="32"/>
          <w:szCs w:val="32"/>
          <w:lang w:val="en-US" w:eastAsia="zh-CN"/>
        </w:rPr>
        <w:t>，项目为农业保险保费补贴资金。</w:t>
      </w:r>
    </w:p>
    <w:p>
      <w:pPr>
        <w:ind w:firstLine="645"/>
        <w:rPr>
          <w:rFonts w:hint="eastAsia" w:ascii="仿宋_GB2312" w:eastAsia="仿宋_GB2312"/>
          <w:sz w:val="32"/>
          <w:szCs w:val="32"/>
          <w:lang w:val="en-US" w:eastAsia="zh-CN"/>
        </w:rPr>
      </w:pPr>
      <w:r>
        <w:rPr>
          <w:rFonts w:hint="eastAsia" w:ascii="仿宋_GB2312" w:eastAsia="仿宋_GB2312"/>
          <w:sz w:val="32"/>
          <w:szCs w:val="32"/>
        </w:rPr>
        <w:t>16、</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其他农林水支出</w:t>
      </w:r>
      <w:r>
        <w:rPr>
          <w:rFonts w:hint="eastAsia" w:ascii="仿宋_GB2312" w:eastAsia="仿宋_GB2312"/>
          <w:sz w:val="32"/>
          <w:szCs w:val="32"/>
        </w:rPr>
        <w:t>（款）</w:t>
      </w:r>
      <w:r>
        <w:rPr>
          <w:rFonts w:hint="eastAsia" w:ascii="仿宋_GB2312" w:eastAsia="仿宋_GB2312"/>
          <w:sz w:val="32"/>
          <w:szCs w:val="32"/>
          <w:lang w:val="en-US" w:eastAsia="zh-CN"/>
        </w:rPr>
        <w:t>其他农林水支出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减少70.00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项目较少，项目为农业农村局大田作物保险。</w:t>
      </w:r>
    </w:p>
    <w:p>
      <w:pPr>
        <w:ind w:firstLine="645"/>
        <w:rPr>
          <w:rFonts w:hint="eastAsia" w:ascii="仿宋_GB2312" w:eastAsia="仿宋_GB2312"/>
          <w:sz w:val="32"/>
          <w:szCs w:val="32"/>
          <w:lang w:val="en-US" w:eastAsia="zh-CN"/>
        </w:rPr>
      </w:pPr>
      <w:r>
        <w:rPr>
          <w:rFonts w:hint="eastAsia" w:ascii="仿宋_GB2312" w:eastAsia="仿宋_GB2312"/>
          <w:sz w:val="32"/>
          <w:szCs w:val="32"/>
        </w:rPr>
        <w:t>17、</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减少0.11</w:t>
      </w:r>
      <w:r>
        <w:rPr>
          <w:rFonts w:hint="eastAsia" w:ascii="仿宋_GB2312" w:eastAsia="仿宋_GB2312"/>
          <w:sz w:val="32"/>
          <w:szCs w:val="32"/>
        </w:rPr>
        <w:t>万元，</w:t>
      </w:r>
      <w:r>
        <w:rPr>
          <w:rFonts w:hint="eastAsia" w:ascii="仿宋_GB2312" w:eastAsia="仿宋_GB2312"/>
          <w:sz w:val="32"/>
          <w:szCs w:val="32"/>
          <w:lang w:val="en-US" w:eastAsia="zh-CN"/>
        </w:rPr>
        <w:t>下降0.55</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湟源县农业农村局（本级）2023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湟源县农业农村局（本级）2023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361.04</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341.62</w:t>
      </w:r>
      <w:r>
        <w:rPr>
          <w:rFonts w:hint="eastAsia" w:ascii="仿宋_GB2312" w:eastAsia="仿宋_GB2312"/>
          <w:sz w:val="32"/>
          <w:szCs w:val="32"/>
        </w:rPr>
        <w:t>万元，主要包括：</w:t>
      </w:r>
      <w:r>
        <w:rPr>
          <w:rFonts w:hint="eastAsia" w:ascii="仿宋_GB2312" w:eastAsia="仿宋_GB2312"/>
          <w:sz w:val="32"/>
          <w:szCs w:val="32"/>
          <w:lang w:val="en-US" w:eastAsia="zh-CN"/>
        </w:rPr>
        <w:t>基本工资56.68万元、津贴补贴73.57万元、奖金56.88万元、机关事业单位基本养老保险缴费21.95万元、职业年金缴费10.98万元、职工基本医疗保险缴费8.48万元、公务员医疗补助缴费10.44万元、其他社会保障缴费0.26万元、住房公积金20.02万元、退休费56.42万元、生活补助0.84万元、医疗费补助25.09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19.42</w:t>
      </w:r>
      <w:r>
        <w:rPr>
          <w:rFonts w:hint="eastAsia" w:ascii="仿宋_GB2312" w:eastAsia="仿宋_GB2312"/>
          <w:sz w:val="32"/>
          <w:szCs w:val="32"/>
        </w:rPr>
        <w:t>万元，主要包括：</w:t>
      </w:r>
      <w:r>
        <w:rPr>
          <w:rFonts w:hint="eastAsia" w:ascii="仿宋_GB2312" w:eastAsia="仿宋_GB2312"/>
          <w:sz w:val="32"/>
          <w:szCs w:val="32"/>
          <w:lang w:val="en-US" w:eastAsia="zh-CN"/>
        </w:rPr>
        <w:t>办公费1.54万元、水费0.28万元、电费0.28万元、邮电费1.12万元、取暖费1.40万元、差旅费1.26万元、公务接待费0.42万元、工会经费2.60万元、公务用车运行维护费1.00万元、其他交通费用7.92万元、其他商品和服务支出1.60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湟源县农业农村局（本级）2023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lang w:val="en-US" w:eastAsia="zh-CN"/>
        </w:rPr>
        <w:t>湟源县农业农村局（本级）2023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0.42</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年“三公”经费预算</w:t>
      </w:r>
      <w:r>
        <w:rPr>
          <w:rFonts w:hint="eastAsia" w:ascii="仿宋_GB2312" w:eastAsia="仿宋_GB2312"/>
          <w:color w:val="auto"/>
          <w:sz w:val="32"/>
          <w:szCs w:val="32"/>
          <w:highlight w:val="none"/>
          <w:lang w:val="en-US" w:eastAsia="zh-CN"/>
        </w:rPr>
        <w:t>与上年无变化。</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湟源县农业农村局（本级）2023</w:t>
      </w:r>
      <w:r>
        <w:rPr>
          <w:rFonts w:ascii="黑体" w:hAnsi="宋体" w:eastAsia="黑体"/>
          <w:color w:val="000000"/>
          <w:sz w:val="32"/>
          <w:szCs w:val="32"/>
        </w:rPr>
        <w:t>年</w:t>
      </w:r>
      <w:r>
        <w:rPr>
          <w:rFonts w:hint="eastAsia" w:ascii="黑体" w:hAnsi="宋体" w:eastAsia="黑体"/>
          <w:color w:val="000000"/>
          <w:sz w:val="32"/>
          <w:szCs w:val="32"/>
        </w:rPr>
        <w:t>政府</w:t>
      </w:r>
      <w:bookmarkStart w:id="6" w:name="_GoBack"/>
      <w:bookmarkEnd w:id="6"/>
      <w:r>
        <w:rPr>
          <w:rFonts w:hint="eastAsia" w:ascii="黑体" w:hAnsi="宋体" w:eastAsia="黑体"/>
          <w:color w:val="000000"/>
          <w:sz w:val="32"/>
          <w:szCs w:val="32"/>
        </w:rPr>
        <w:t>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湟源县农业农村局（本级）2023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湟源县农业农村局（本级）</w:t>
      </w:r>
      <w:r>
        <w:rPr>
          <w:rFonts w:hint="eastAsia" w:ascii="仿宋_GB2312" w:hAnsi="仿宋" w:eastAsia="仿宋_GB2312"/>
          <w:spacing w:val="-6"/>
          <w:kern w:val="2"/>
          <w:sz w:val="32"/>
          <w:szCs w:val="32"/>
          <w:lang w:val="en-US"/>
        </w:rPr>
        <w:t>机关运行经费财政拨款预算19.42万元，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预算减少3.5万元，下降15.27%。主要是</w:t>
      </w:r>
      <w:r>
        <w:rPr>
          <w:rFonts w:hint="eastAsia" w:ascii="仿宋_GB2312" w:hAnsi="仿宋" w:eastAsia="仿宋_GB2312"/>
          <w:spacing w:val="-6"/>
          <w:kern w:val="2"/>
          <w:sz w:val="32"/>
          <w:szCs w:val="32"/>
          <w:lang w:val="en-US" w:eastAsia="zh-CN"/>
        </w:rPr>
        <w:t>人员调出</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湟源县农业农村局（本级）各单位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6</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6</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湟源县农业农村局（本级）所属各预算单位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w:t>
      </w:r>
      <w:r>
        <w:rPr>
          <w:rFonts w:hint="eastAsia" w:ascii="仿宋_GB2312" w:hAnsi="仿宋" w:eastAsia="仿宋_GB2312"/>
          <w:spacing w:val="-6"/>
          <w:kern w:val="2"/>
          <w:sz w:val="32"/>
          <w:szCs w:val="32"/>
          <w:lang w:val="en-US" w:eastAsia="zh-CN"/>
        </w:rPr>
        <w:t>车0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湟源县农业农村局（本级）</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14</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8998.71</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pStyle w:val="2"/>
        <w:rPr>
          <w:rFonts w:hint="eastAsia"/>
        </w:rPr>
      </w:pPr>
    </w:p>
    <w:tbl>
      <w:tblPr>
        <w:tblStyle w:val="8"/>
        <w:tblW w:w="101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1111"/>
        <w:gridCol w:w="2067"/>
        <w:gridCol w:w="733"/>
        <w:gridCol w:w="789"/>
        <w:gridCol w:w="1645"/>
        <w:gridCol w:w="900"/>
        <w:gridCol w:w="889"/>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5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57"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33"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9"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45"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33"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动物强制免疫</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动物疫病强制应免疫应免疫密度常年保持在90%以上。</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动物防疫补助经费统筹使用率</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项目完成时间</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农机购置补贴</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发展促进农机化全面高质、高效发展，权利支持保障粮油及主导产业农业机械及设施装备要求，着力加快粮油生产生产全程机械化步伐，提升主导产业机械化、设施化水平，坚持重点导向，加大重点作物、关键环节户薄弱环节区域机械化支持力度，发展粮食、畜牧、蔬菜、设施农业及农产品初加工机械，并在全县范围内对符合国家补贴标准的机具实行敞开补贴，应补尽补。</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补贴机具合格率</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提升农机化综合作业水平</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购机农户满意度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农业绿色发展与技术服务</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2,123.04</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围绕马铃薯、蚕豆、蔬菜、饲草、牦牛5个主导产业，示范推广绿色高效技术11项，主导品种9个，建立核心实验基地2处，开展现场观摩会1次，技术研讨交流会1次。2021年计划培训高素质农牧民400人。全县托管3万亩。新录用15名大学生为乡村振兴村及村集体股份经济合作社服务。建立麦类作物“三圃田”460亩，麦类新品种繁育基地1000亩，蚕豆原种繁育基地1000亩，小油菜良种繁育基地1250亩，马铃薯良种繁育基地1500亩，蔬菜品种繁育基地200亩，新品种展示示范1800亩。</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全膜覆盖栽培技术</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选派大学生</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农业生产社会化服务面积</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化肥减量面积</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培训高素质农牧民400人</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服务小农户数量和服务规模经营水平</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培育主体持续带动能力</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生态效益指标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农产品品质、品牌效应</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可持续影响指标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高素质农民生产经营能力和带动能力</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辅助带动农户满意度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新型经营主体对农业生产发展资金项目实施满意度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受农户满意度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农业保险保费补贴资金</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1,870.87</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根据农业保险合同，由中央财政、省级财政、市（州）、县（市、区）财政、农户、农业生产经营组织共同负担保费，对被保险人在农业（包括种植业、林业、畜牧业和渔业等）生产过程中，对遭受自然灾害、意外事故疫病、疾病等保险事故所造成的的经济损失提供保障，各级财政对政府引导的农业保险经办机构开展的符合条件的农业保险业务，按照有关规定提供保险费一定比例的财政补贴资金。</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时效指标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保险期限</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农户种养殖积极性</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农户满意度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财政衔接推进乡村振兴补助资金项目</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4,330.00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统筹实施乡村振兴战略，开展农村环境整治，推动全县农村全面进步，加快实现农业农村现代化</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完成支付财政衔接项目资金</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43300000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优化乡村环境，推动农村发展</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受农户满意度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菜篮子工作经费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完成菜篮子办公室日常工作</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日常工作经费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经济效益指标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菜篮子工作达成的经济效益</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服务对象满意程度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南京挂职人员经费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南京挂职人员工作经费</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南京挂职六人经费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提高农业、畜牧各项工作效率</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各单位、服务对象满意度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园区运行经费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园区日常工作运行经费，电费、水费、油费、门卫费、取暖费等。</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时效指标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2022年工作经费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工作人员</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园区工作人员</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价格指数保险</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价格指数保险</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生猪</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保险费率</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全县人居环境整治工作经费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3.58</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全县人居环境整治工作经费</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整治工作经费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人居环境整治效果</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现代农业产业园区科技评估资料编制费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现代农业产业园区规划编制费</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时效指标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编制期限</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生产效率</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农业农村局农业保险</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250.00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农业农村局农业保险</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小麦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77940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经济效益指标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保险费率</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农业农村局的工作经费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34.72</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农业农村局的工作经费</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时效指标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保障工作正常进行</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347200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经济效益指标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提高工作效率</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干部职工</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2023年农业农村局工作经费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2023年湟源县农业农村局冬季局大院取暖费及其它运行经费</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时效指标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供暖时间</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干部职工工作环境</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改善</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职工满意度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病虫害控制</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用于病虫鼠害及疫情监测、预报、预防、控制、检疫、防疫所需的仪器、设施、药物、疫苗、种苗，疫畜（禽、鱼、植物）防治、扑杀补偿及劳务补助、菌（毒）种保藏及动植物及其产品检疫、检测等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农业生产发展</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反映用于耕地地力保护、适度规模经营、农机购置补贴、优势特色主导产业发展、畜牧水产发展、农村一二三产业融合等方面支出。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农田建设</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反映用于农田建设和田间水利相关工程建设的支出。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其他农业农村支出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反映除上述项目以外其他用于农业农村方面的支出。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巩固脱贫衔接乡村振兴</w:t>
      </w:r>
      <w:r>
        <w:rPr>
          <w:rFonts w:hint="eastAsia" w:ascii="仿宋_GB2312" w:eastAsia="仿宋_GB2312"/>
          <w:b/>
          <w:bCs/>
          <w:sz w:val="32"/>
          <w:szCs w:val="32"/>
        </w:rPr>
        <w:t>（款）</w:t>
      </w:r>
      <w:r>
        <w:rPr>
          <w:rFonts w:hint="eastAsia" w:ascii="仿宋_GB2312" w:eastAsia="仿宋_GB2312"/>
          <w:b/>
          <w:bCs/>
          <w:sz w:val="32"/>
          <w:szCs w:val="32"/>
          <w:lang w:val="en-US" w:eastAsia="zh-CN"/>
        </w:rPr>
        <w:t>生产发展</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反映用于农村欠发达地区发展种植业、养殖业、畜牧业、农副产品加工、林果地建设等生产发展项目以及相关技术推广等方面的项目支出。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十三）农林水支出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巩固脱贫攻坚成果衔接乡村振兴</w:t>
      </w:r>
      <w:r>
        <w:rPr>
          <w:rFonts w:hint="eastAsia" w:ascii="仿宋_GB2312" w:eastAsia="仿宋_GB2312"/>
          <w:b/>
          <w:bCs/>
          <w:sz w:val="32"/>
          <w:szCs w:val="32"/>
        </w:rPr>
        <w:t>（款）</w:t>
      </w:r>
      <w:r>
        <w:rPr>
          <w:rFonts w:hint="eastAsia" w:ascii="仿宋_GB2312" w:eastAsia="仿宋_GB2312"/>
          <w:b/>
          <w:bCs/>
          <w:sz w:val="32"/>
          <w:szCs w:val="32"/>
          <w:lang w:val="en-US" w:eastAsia="zh-CN"/>
        </w:rPr>
        <w:t>其他巩固脱贫攻坚成果衔接乡村振兴支出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反映除上述项目以外其他用于巩固拓展脱贫攻坚成果同乡村振兴有效衔接方面的支出。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十四）农林水支出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农村综合改革</w:t>
      </w:r>
      <w:r>
        <w:rPr>
          <w:rFonts w:hint="eastAsia" w:ascii="仿宋_GB2312" w:eastAsia="仿宋_GB2312"/>
          <w:b/>
          <w:bCs/>
          <w:sz w:val="32"/>
          <w:szCs w:val="32"/>
        </w:rPr>
        <w:t>（款）</w:t>
      </w:r>
      <w:r>
        <w:rPr>
          <w:rFonts w:hint="eastAsia" w:ascii="仿宋_GB2312" w:eastAsia="仿宋_GB2312"/>
          <w:b/>
          <w:bCs/>
          <w:sz w:val="32"/>
          <w:szCs w:val="32"/>
          <w:lang w:val="en-US" w:eastAsia="zh-CN"/>
        </w:rPr>
        <w:t>对村集体经济组织的补助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反映农村税费改革后对村集体经济组织的补助支出。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十五）农林水支出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普惠金融发展支出</w:t>
      </w:r>
      <w:r>
        <w:rPr>
          <w:rFonts w:hint="eastAsia" w:ascii="仿宋_GB2312" w:eastAsia="仿宋_GB2312"/>
          <w:b/>
          <w:bCs/>
          <w:sz w:val="32"/>
          <w:szCs w:val="32"/>
        </w:rPr>
        <w:t>（款）</w:t>
      </w:r>
      <w:r>
        <w:rPr>
          <w:rFonts w:hint="eastAsia" w:ascii="仿宋_GB2312" w:eastAsia="仿宋_GB2312"/>
          <w:b/>
          <w:bCs/>
          <w:sz w:val="32"/>
          <w:szCs w:val="32"/>
          <w:lang w:val="en-US" w:eastAsia="zh-CN"/>
        </w:rPr>
        <w:t>农业保险保费补贴</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反映对农民或农业生产经营组织投保农业保险给予的补贴。</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十六）农林水支出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其他农林水支出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其他农林水支出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反映除上述项目以外其他用于农林水方面的支出。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十七）住房保障支出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1FC7A"/>
    <w:multiLevelType w:val="singleLevel"/>
    <w:tmpl w:val="92E1FC7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3F46F8"/>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80608C"/>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3D62B6"/>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4DE2226"/>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D4F91"/>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075F0E"/>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6E71CFE"/>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1482F"/>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4C517B3"/>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546"/>
    <w:rsid w:val="6BF60B14"/>
    <w:rsid w:val="6C142268"/>
    <w:rsid w:val="6C182A5D"/>
    <w:rsid w:val="6C3C4515"/>
    <w:rsid w:val="6C3F3D03"/>
    <w:rsid w:val="6C45090D"/>
    <w:rsid w:val="6C783074"/>
    <w:rsid w:val="6C906CD0"/>
    <w:rsid w:val="6C9F2F49"/>
    <w:rsid w:val="6CCC34A0"/>
    <w:rsid w:val="6CD01102"/>
    <w:rsid w:val="6CD81D64"/>
    <w:rsid w:val="6CEB1A97"/>
    <w:rsid w:val="6CF070AE"/>
    <w:rsid w:val="6CF81B21"/>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4E96D57"/>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rFonts w:ascii="仿宋" w:hAnsi="仿宋" w:eastAsia="仿宋" w:cs="仿宋"/>
      <w:sz w:val="32"/>
      <w:szCs w:val="32"/>
      <w:lang w:val="zh-CN" w:bidi="zh-CN"/>
    </w:rPr>
  </w:style>
  <w:style w:type="paragraph" w:styleId="5">
    <w:name w:val="Balloon Text"/>
    <w:basedOn w:val="1"/>
    <w:link w:val="11"/>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批注框文本 Char"/>
    <w:link w:val="5"/>
    <w:semiHidden/>
    <w:qFormat/>
    <w:uiPriority w:val="99"/>
    <w:rPr>
      <w:rFonts w:ascii="Times New Roman" w:hAnsi="Times New Roman"/>
      <w:kern w:val="2"/>
      <w:sz w:val="18"/>
      <w:szCs w:val="18"/>
    </w:rPr>
  </w:style>
  <w:style w:type="character" w:customStyle="1" w:styleId="12">
    <w:name w:val="页脚 Char"/>
    <w:link w:val="6"/>
    <w:qFormat/>
    <w:uiPriority w:val="99"/>
    <w:rPr>
      <w:rFonts w:ascii="Times New Roman" w:hAnsi="Times New Roman"/>
      <w:kern w:val="2"/>
      <w:sz w:val="18"/>
      <w:szCs w:val="18"/>
    </w:rPr>
  </w:style>
  <w:style w:type="character" w:customStyle="1" w:styleId="13">
    <w:name w:val="页眉 Char"/>
    <w:link w:val="7"/>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7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10320</Words>
  <Characters>12574</Characters>
  <Lines>43</Lines>
  <Paragraphs>12</Paragraphs>
  <TotalTime>1</TotalTime>
  <ScaleCrop>false</ScaleCrop>
  <LinksUpToDate>false</LinksUpToDate>
  <CharactersWithSpaces>12688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2023-06-08T06:55:02Z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78B694ACD2674DA3A8532EB8159BE539_13</vt:lpwstr>
  </property>
</Properties>
</file>