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6"/>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6"/>
              <w:jc w:val="center"/>
              <w:rPr>
                <w:rFonts w:hint="eastAsia" w:ascii="Cambria" w:hAnsi="Cambria"/>
                <w:b/>
                <w:sz w:val="80"/>
                <w:szCs w:val="80"/>
                <w:lang w:val="en-US" w:eastAsia="zh-CN"/>
              </w:rPr>
            </w:pPr>
            <w:r>
              <w:rPr>
                <w:rFonts w:hint="eastAsia" w:ascii="Cambria" w:hAnsi="Cambria"/>
                <w:b/>
                <w:sz w:val="80"/>
                <w:szCs w:val="80"/>
                <w:lang w:val="en-US" w:eastAsia="zh-CN"/>
              </w:rPr>
              <w:t>湟源县农产品质量安全</w:t>
            </w:r>
          </w:p>
          <w:p>
            <w:pPr>
              <w:pStyle w:val="16"/>
              <w:jc w:val="center"/>
              <w:rPr>
                <w:rFonts w:ascii="Cambria" w:hAnsi="Cambria"/>
                <w:b/>
                <w:sz w:val="80"/>
                <w:szCs w:val="80"/>
              </w:rPr>
            </w:pPr>
            <w:r>
              <w:rPr>
                <w:rFonts w:hint="eastAsia" w:ascii="Cambria" w:hAnsi="Cambria"/>
                <w:b/>
                <w:sz w:val="80"/>
                <w:szCs w:val="80"/>
                <w:lang w:val="en-US" w:eastAsia="zh-CN"/>
              </w:rPr>
              <w:t>检测中心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6"/>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6"/>
              <w:jc w:val="center"/>
            </w:pPr>
          </w:p>
        </w:tc>
      </w:tr>
    </w:tbl>
    <w:p/>
    <w:tbl>
      <w:tblPr>
        <w:tblStyle w:val="9"/>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6"/>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val="en-US" w:eastAsia="zh-CN"/>
        </w:rPr>
        <w:t>承担全县农产品质量安全的检测工作；承担全县农药、兽药、化肥、重金属污染及残留物的检测工作；承担农产品质量安全的宣传工作。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20</w:t>
      </w:r>
      <w:r>
        <w:rPr>
          <w:rFonts w:hint="eastAsia" w:ascii="仿宋_GB2312" w:hAnsi="Times New Roman" w:eastAsia="仿宋_GB2312" w:cs="仿宋"/>
          <w:sz w:val="32"/>
          <w:szCs w:val="32"/>
          <w:lang w:val="en-US" w:eastAsia="zh-CN"/>
        </w:rPr>
        <w:t>23</w:t>
      </w:r>
      <w:r>
        <w:rPr>
          <w:rFonts w:hint="eastAsia" w:ascii="仿宋_GB2312" w:hAnsi="Times New Roman" w:eastAsia="仿宋_GB2312" w:cs="仿宋"/>
          <w:sz w:val="32"/>
          <w:szCs w:val="32"/>
          <w:lang w:eastAsia="zh-CN"/>
        </w:rPr>
        <w:t>年度预算编制范围共有机构数1个，为湟源县农产品质量安全检测中心。</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default" w:ascii="仿宋_GB2312" w:hAnsi="Times New Roman" w:eastAsia="仿宋_GB2312" w:cs="仿宋"/>
          <w:sz w:val="30"/>
          <w:szCs w:val="30"/>
          <w:lang w:val="en-US" w:eastAsia="zh-CN"/>
        </w:rPr>
      </w:pPr>
      <w:r>
        <w:rPr>
          <w:rFonts w:hint="eastAsia" w:ascii="仿宋_GB2312" w:hAnsi="Times New Roman" w:eastAsia="仿宋_GB2312" w:cs="仿宋"/>
          <w:sz w:val="32"/>
          <w:szCs w:val="32"/>
          <w:lang w:eastAsia="zh-CN"/>
        </w:rPr>
        <w:t>纳入湟源县农产品质量安全检测中心</w:t>
      </w:r>
      <w:r>
        <w:rPr>
          <w:rFonts w:hint="eastAsia" w:ascii="仿宋_GB2312" w:hAnsi="Times New Roman" w:eastAsia="仿宋_GB2312" w:cs="仿宋"/>
          <w:sz w:val="32"/>
          <w:szCs w:val="32"/>
          <w:lang w:val="en-US" w:eastAsia="zh-CN"/>
        </w:rPr>
        <w:t>2023</w:t>
      </w:r>
      <w:r>
        <w:rPr>
          <w:rFonts w:hint="eastAsia" w:ascii="仿宋_GB2312" w:hAnsi="Times New Roman" w:eastAsia="仿宋_GB2312" w:cs="仿宋"/>
          <w:sz w:val="32"/>
          <w:szCs w:val="32"/>
          <w:lang w:eastAsia="zh-CN"/>
        </w:rPr>
        <w:t>年部门预算编制范围的二级预算单位包括：</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9"/>
        <w:tblW w:w="9870" w:type="dxa"/>
        <w:jc w:val="center"/>
        <w:tblLayout w:type="fixed"/>
        <w:tblCellMar>
          <w:top w:w="0" w:type="dxa"/>
          <w:left w:w="108" w:type="dxa"/>
          <w:bottom w:w="0" w:type="dxa"/>
          <w:right w:w="108" w:type="dxa"/>
        </w:tblCellMar>
      </w:tblPr>
      <w:tblGrid>
        <w:gridCol w:w="3725"/>
        <w:gridCol w:w="173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7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7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156.86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18.78</w:t>
            </w: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10.62</w:t>
            </w: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115.68</w:t>
            </w: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11.77</w:t>
            </w: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156.86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156.86</w:t>
            </w: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7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156.86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156.86</w:t>
            </w:r>
          </w:p>
        </w:tc>
      </w:tr>
    </w:tbl>
    <w:p>
      <w:pPr>
        <w:rPr>
          <w:rFonts w:hint="eastAsia" w:ascii="仿宋_GB2312" w:eastAsia="仿宋_GB2312"/>
          <w:sz w:val="32"/>
          <w:szCs w:val="32"/>
          <w:lang w:val="en-US" w:eastAsia="zh-CN"/>
        </w:rPr>
      </w:pPr>
    </w:p>
    <w:tbl>
      <w:tblPr>
        <w:tblStyle w:val="9"/>
        <w:tblpPr w:leftFromText="180" w:rightFromText="180" w:vertAnchor="text" w:horzAnchor="page" w:tblpXSpec="center" w:tblpY="618"/>
        <w:tblOverlap w:val="never"/>
        <w:tblW w:w="11462" w:type="dxa"/>
        <w:jc w:val="center"/>
        <w:tblLayout w:type="fixed"/>
        <w:tblCellMar>
          <w:top w:w="0" w:type="dxa"/>
          <w:left w:w="108" w:type="dxa"/>
          <w:bottom w:w="0" w:type="dxa"/>
          <w:right w:w="108" w:type="dxa"/>
        </w:tblCellMar>
      </w:tblPr>
      <w:tblGrid>
        <w:gridCol w:w="955"/>
        <w:gridCol w:w="955"/>
        <w:gridCol w:w="955"/>
        <w:gridCol w:w="955"/>
        <w:gridCol w:w="955"/>
        <w:gridCol w:w="955"/>
        <w:gridCol w:w="955"/>
        <w:gridCol w:w="955"/>
        <w:gridCol w:w="955"/>
        <w:gridCol w:w="955"/>
        <w:gridCol w:w="955"/>
        <w:gridCol w:w="957"/>
      </w:tblGrid>
      <w:tr>
        <w:tblPrEx>
          <w:tblCellMar>
            <w:top w:w="0" w:type="dxa"/>
            <w:left w:w="108" w:type="dxa"/>
            <w:bottom w:w="0" w:type="dxa"/>
            <w:right w:w="108" w:type="dxa"/>
          </w:tblCellMar>
        </w:tblPrEx>
        <w:trPr>
          <w:trHeight w:val="392" w:hRule="atLeast"/>
          <w:jc w:val="center"/>
        </w:trPr>
        <w:tc>
          <w:tcPr>
            <w:tcW w:w="1146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6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6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156.86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156.86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156.86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156.86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湟源县农产品质量安全检测中心</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156.86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156.86</w:t>
            </w: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1365" w:type="dxa"/>
        <w:jc w:val="center"/>
        <w:tblLayout w:type="fixed"/>
        <w:tblCellMar>
          <w:top w:w="0" w:type="dxa"/>
          <w:left w:w="108" w:type="dxa"/>
          <w:bottom w:w="0" w:type="dxa"/>
          <w:right w:w="108" w:type="dxa"/>
        </w:tblCellMar>
      </w:tblPr>
      <w:tblGrid>
        <w:gridCol w:w="1100"/>
        <w:gridCol w:w="3793"/>
        <w:gridCol w:w="1078"/>
        <w:gridCol w:w="1078"/>
        <w:gridCol w:w="1078"/>
        <w:gridCol w:w="1078"/>
        <w:gridCol w:w="1078"/>
        <w:gridCol w:w="1082"/>
      </w:tblGrid>
      <w:tr>
        <w:tblPrEx>
          <w:tblCellMar>
            <w:top w:w="0" w:type="dxa"/>
            <w:left w:w="108" w:type="dxa"/>
            <w:bottom w:w="0" w:type="dxa"/>
            <w:right w:w="108" w:type="dxa"/>
          </w:tblCellMar>
        </w:tblPrEx>
        <w:trPr>
          <w:trHeight w:val="187" w:hRule="atLeast"/>
          <w:jc w:val="center"/>
        </w:trPr>
        <w:tc>
          <w:tcPr>
            <w:tcW w:w="1136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6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6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156.86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146.86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18.12</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18.12</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6.04</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6.04</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10.62</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10.62</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10.62</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10.62</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5.86</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115.68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105.68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115.68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105.68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115.68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105.68</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11.77</w:t>
            </w: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9"/>
        <w:tblpPr w:leftFromText="180" w:rightFromText="180" w:vertAnchor="text" w:horzAnchor="page" w:tblpXSpec="center" w:tblpY="183"/>
        <w:tblOverlap w:val="never"/>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1256"/>
        <w:gridCol w:w="1751"/>
        <w:gridCol w:w="1348"/>
        <w:gridCol w:w="128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5"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15"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15"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5"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5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4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8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25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156.86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156.86</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156.86</w:t>
            </w: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25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156.86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18.78</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18.78</w:t>
            </w: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10.62</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10.62</w:t>
            </w: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115.68</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115.68</w:t>
            </w: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11.77</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11.77</w:t>
            </w: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256"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8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25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156.86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4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156.86</w:t>
            </w:r>
          </w:p>
        </w:tc>
        <w:tc>
          <w:tcPr>
            <w:tcW w:w="128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156.86</w:t>
            </w:r>
          </w:p>
        </w:tc>
        <w:tc>
          <w:tcPr>
            <w:tcW w:w="128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9"/>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06"/>
        <w:gridCol w:w="1418"/>
        <w:gridCol w:w="1418"/>
        <w:gridCol w:w="141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156.86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146.86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18.78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18.12</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18.12</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6.04</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6.04</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10.62</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10.62</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10.62</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10.62</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5.86</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115.68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105.68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115.68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105.68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115.68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105.68</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11.77</w:t>
            </w:r>
          </w:p>
        </w:tc>
        <w:tc>
          <w:tcPr>
            <w:tcW w:w="141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0968" w:type="dxa"/>
        <w:jc w:val="center"/>
        <w:tblLayout w:type="fixed"/>
        <w:tblCellMar>
          <w:top w:w="0" w:type="dxa"/>
          <w:left w:w="108" w:type="dxa"/>
          <w:bottom w:w="0" w:type="dxa"/>
          <w:right w:w="108" w:type="dxa"/>
        </w:tblCellMar>
      </w:tblPr>
      <w:tblGrid>
        <w:gridCol w:w="650"/>
        <w:gridCol w:w="650"/>
        <w:gridCol w:w="2923"/>
        <w:gridCol w:w="2248"/>
        <w:gridCol w:w="2248"/>
        <w:gridCol w:w="2249"/>
      </w:tblGrid>
      <w:tr>
        <w:tblPrEx>
          <w:tblCellMar>
            <w:top w:w="0" w:type="dxa"/>
            <w:left w:w="108" w:type="dxa"/>
            <w:bottom w:w="0" w:type="dxa"/>
            <w:right w:w="108" w:type="dxa"/>
          </w:tblCellMar>
        </w:tblPrEx>
        <w:trPr>
          <w:trHeight w:val="264" w:hRule="atLeast"/>
          <w:jc w:val="center"/>
        </w:trPr>
        <w:tc>
          <w:tcPr>
            <w:tcW w:w="10968"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968"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968"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2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4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4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2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146.86</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142.35</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142.35</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142.35</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27.48</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27.48</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31.28</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31.28</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42.42</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42.42</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12.08</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12.08</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6.04</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6.04</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4.77</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4.77</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5.86</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5.86</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11.77</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11.77</w:t>
            </w: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4.51</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0.35</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1.47</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9"/>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湟源县农产品质量安全检测中心2023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湟源县农产品质量安全检测中心</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一般公共预算拨款收入156.86万元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社会保障和就业支出18.78万元，卫生健康支出10.62万元，农林水支出115.68万元，住房保障支出11.77万元</w:t>
      </w:r>
      <w:r>
        <w:rPr>
          <w:rFonts w:hint="eastAsia" w:ascii="仿宋_GB2312" w:eastAsia="仿宋_GB2312"/>
          <w:sz w:val="32"/>
          <w:szCs w:val="32"/>
        </w:rPr>
        <w:t>。</w:t>
      </w:r>
      <w:r>
        <w:rPr>
          <w:rFonts w:hint="eastAsia" w:ascii="仿宋_GB2312" w:eastAsia="仿宋_GB2312"/>
          <w:sz w:val="32"/>
          <w:szCs w:val="32"/>
          <w:lang w:val="en-US" w:eastAsia="zh-CN"/>
        </w:rPr>
        <w:t>湟源县农产品质量安全检测中心2023</w:t>
      </w:r>
      <w:r>
        <w:rPr>
          <w:rFonts w:hint="eastAsia" w:ascii="仿宋_GB2312" w:eastAsia="仿宋_GB2312"/>
          <w:sz w:val="32"/>
          <w:szCs w:val="32"/>
        </w:rPr>
        <w:t>年收支总预算</w:t>
      </w:r>
      <w:r>
        <w:rPr>
          <w:rFonts w:hint="eastAsia" w:ascii="仿宋_GB2312" w:eastAsia="仿宋_GB2312"/>
          <w:sz w:val="32"/>
          <w:szCs w:val="32"/>
          <w:lang w:val="en-US" w:eastAsia="zh-CN"/>
        </w:rPr>
        <w:t>156.86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湟源县农产品质量安全检测中心2023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湟源县农产品质量安全检测中心2023</w:t>
      </w:r>
      <w:r>
        <w:rPr>
          <w:rFonts w:hint="eastAsia" w:ascii="仿宋_GB2312" w:eastAsia="仿宋_GB2312"/>
          <w:sz w:val="32"/>
          <w:szCs w:val="32"/>
        </w:rPr>
        <w:t>年收入预算</w:t>
      </w:r>
      <w:r>
        <w:rPr>
          <w:rFonts w:hint="eastAsia" w:ascii="仿宋_GB2312" w:eastAsia="仿宋_GB2312"/>
          <w:sz w:val="32"/>
          <w:szCs w:val="32"/>
          <w:lang w:val="en-US" w:eastAsia="zh-CN"/>
        </w:rPr>
        <w:t>156.86</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一般公共预算拨款收入156.86万元，占100.00%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1.25pt;width:350.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湟源县农产品质量安全检测中心2023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湟源县农产品质量安全检测中心2023</w:t>
      </w:r>
      <w:r>
        <w:rPr>
          <w:rFonts w:hint="eastAsia" w:ascii="仿宋_GB2312" w:eastAsia="仿宋_GB2312"/>
          <w:sz w:val="32"/>
          <w:szCs w:val="32"/>
        </w:rPr>
        <w:t>年支出预算</w:t>
      </w:r>
      <w:r>
        <w:rPr>
          <w:rFonts w:hint="eastAsia" w:ascii="仿宋_GB2312" w:eastAsia="仿宋_GB2312"/>
          <w:sz w:val="32"/>
          <w:szCs w:val="32"/>
          <w:lang w:val="en-US" w:eastAsia="zh-CN"/>
        </w:rPr>
        <w:t>156.86</w:t>
      </w:r>
      <w:r>
        <w:rPr>
          <w:rFonts w:hint="eastAsia" w:ascii="仿宋_GB2312" w:eastAsia="仿宋_GB2312"/>
          <w:sz w:val="32"/>
          <w:szCs w:val="32"/>
        </w:rPr>
        <w:t>万元，其中：</w:t>
      </w:r>
      <w:r>
        <w:rPr>
          <w:rFonts w:hint="eastAsia" w:ascii="仿宋_GB2312" w:eastAsia="仿宋_GB2312"/>
          <w:sz w:val="32"/>
          <w:szCs w:val="32"/>
          <w:lang w:val="en-US" w:eastAsia="zh-CN"/>
        </w:rPr>
        <w:t>基本支出146.86万元，占93.62%；项目支出10.00万元，占6.38%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15pt;width:352.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湟源县农产品质量安全检测中心2023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湟源县农产品质量安全检测中心2023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156.86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减少6.93</w:t>
      </w:r>
      <w:r>
        <w:rPr>
          <w:rFonts w:hint="eastAsia" w:ascii="仿宋_GB2312" w:eastAsia="仿宋_GB2312"/>
          <w:sz w:val="32"/>
          <w:szCs w:val="32"/>
        </w:rPr>
        <w:t>万元，主要是</w:t>
      </w:r>
      <w:r>
        <w:rPr>
          <w:rFonts w:hint="eastAsia" w:ascii="仿宋_GB2312" w:hAnsi="Times New Roman" w:eastAsia="仿宋_GB2312" w:cs="Times New Roman"/>
          <w:sz w:val="32"/>
          <w:szCs w:val="32"/>
          <w:lang w:val="en-US" w:eastAsia="zh-CN"/>
        </w:rPr>
        <w:t>财政收入补助减少</w:t>
      </w:r>
      <w:r>
        <w:rPr>
          <w:rFonts w:hint="eastAsia" w:ascii="仿宋_GB2312" w:hAnsi="Times New Roman" w:eastAsia="仿宋_GB2312" w:cs="Times New Roman"/>
          <w:sz w:val="32"/>
          <w:szCs w:val="32"/>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一般公共预算拨款收入156.86万元，上年结转0.00万元；政府性基金预算拨款收入0.00万元，上年结转0.00万元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社会保障和就业支出18.78万元， 卫生健康支出10.62万元， 农林水支出115.68万元， 住房保障支出11.77万元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3.5pt;width:355.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湟源县农产品质量安全检测中心2023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湟源县农产品质量安全检测中心2023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156.86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减少6.93</w:t>
      </w:r>
      <w:r>
        <w:rPr>
          <w:rFonts w:hint="eastAsia" w:ascii="仿宋_GB2312" w:eastAsia="仿宋_GB2312"/>
          <w:sz w:val="32"/>
          <w:szCs w:val="32"/>
        </w:rPr>
        <w:t>万元，主要是</w:t>
      </w:r>
      <w:r>
        <w:rPr>
          <w:rFonts w:hint="eastAsia" w:ascii="仿宋_GB2312" w:hAnsi="Times New Roman" w:eastAsia="仿宋_GB2312" w:cs="Times New Roman"/>
          <w:sz w:val="32"/>
          <w:szCs w:val="32"/>
          <w:lang w:val="en-US" w:eastAsia="zh-CN"/>
        </w:rPr>
        <w:t>财政收入补助减少</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9pt;width:347.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社会保障和就业支出18.78万元，占11.97%；卫生健康支出10.62万元，占6.77%；农林水支出115.68万元，占73.75%；住房保障支出11.77万元，占7.50%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3.3pt;width:354.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社会保障和就业支出（类）行政事业单位养老支出（款）机关事业单位基本养老保险缴费支出（项）2023年预算数为12.08万元，比上年增加0.63万元，增长5.50%。主要工资调整，基数变更，机关事业单位基本养老保险缴费支出相应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社会保障和就业支出（类）行政事业单位养老支出（款）机关事业单位职业年金缴费支出（项）2023年预算数为6.04万元，比上年增加0.32万元，增长5.59%。主要是工资调整，基数变更，机关事业单位职业年金缴费支出相应增加。</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t>3、社会保障和就业支出（类）其他社会保障和就业支出（款）其他社会保障和就业支出（项）2023年预算数为0.66万元，比上年减少0.16万元，下降19.51%。主要是人员相比2022年减少1人，其他社会保障和就业支出相应减少。</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t>4、卫生健康支出（类）行政事业单位医疗（款）事业单位医疗（项）2023年预算数为4.77万元，比上年减少1.14万元，下降19.29%。主要是人员相比2022年减少1人，事业单位医疗相应减少。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5、卫生健康支出（类）行政事业单位医疗（款）公务员医疗补助（项）2023年预算数为5.86万元，比上年减少1.39万元，下降19.17%。主要是人员相比2022年减少1人，公务员医疗补助相应减少。</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t>6、农林水支出（类）农业农村（款）事业运行（项）2023年预算数为115.68万元，比上年减少6.04万元，下降4.96%。主要是人员相比2022年减少1人，事业运行相应减少。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7、住房保障支出（类）住房改革支出（款）住房公积金（项）2023年预算数为11.77万元，比上年增加0.85万元，增长7.78%。主要是工资调整，基数变更，住房公积金相应增加。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湟源县农产品质量安全检测中心2023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湟源县农产品质量安全检测中心2023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146.86</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142.35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27.48万元、津贴补贴31.28万元、绩效工资42.42万元、机关事业单位基本养老保险缴费12.08万元、职业年金缴费6.04万元、职工基本医疗保险缴费4.77万元、公务员医疗补助缴费5.86万元、其他社会保障缴费0.66万元、住房公积金11.77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4.51</w:t>
      </w:r>
      <w:r>
        <w:rPr>
          <w:rFonts w:hint="eastAsia" w:ascii="仿宋_GB2312" w:eastAsia="仿宋_GB2312"/>
          <w:sz w:val="32"/>
          <w:szCs w:val="32"/>
        </w:rPr>
        <w:t>万元，主要包括：</w:t>
      </w:r>
      <w:r>
        <w:rPr>
          <w:rFonts w:hint="eastAsia" w:ascii="仿宋_GB2312" w:eastAsia="仿宋_GB2312"/>
          <w:sz w:val="32"/>
          <w:szCs w:val="32"/>
          <w:lang w:val="en-US" w:eastAsia="zh-CN"/>
        </w:rPr>
        <w:t>办公费0.21万元、水费0.14万元、电费0.14万元、邮电费0.35万元、取暖费0.70万元、差旅费0.28万元、公务接待费0.14万元、工会经费1.47万元、公务用车运行维护费0.80万元、其他商品和服务支出0.28万元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湟源县农产品质量安全检测中心2023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湟源县农产品质量安全检测中心2023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0.14</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三公”经费预算比上年减少主要是人员相比2022年减少1人。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湟源县农产品质量安全检测中心2023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湟源县农产品质量安全检测中心2023年没有使用政府性基金预算拨款安排的支出。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2023年湟源县农产品质量安全检测中心机关运行经费财政拨款预算4.51万元，比上年预算减少0.67万元，下降12.93%。主要是人员相比2022年减少1人。</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2023年湟源县农产品质量安全检测中心各单位政府采购预算总额0万元，其中：政府采购货物预算0万元、政府采购工程预算0万元、政府采购服务预算0万元。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hint="eastAsia" w:ascii="仿宋_GB2312" w:hAnsi="仿宋" w:eastAsia="仿宋_GB2312" w:cs="Times New Roman"/>
          <w:b/>
          <w:spacing w:val="-6"/>
          <w:sz w:val="32"/>
          <w:szCs w:val="32"/>
          <w:lang w:val="en-US" w:eastAsia="zh-CN"/>
        </w:rPr>
      </w:pPr>
      <w:r>
        <w:rPr>
          <w:rFonts w:hint="eastAsia" w:ascii="仿宋_GB2312" w:hAnsi="仿宋" w:eastAsia="仿宋_GB2312" w:cs="Times New Roman"/>
          <w:b/>
          <w:spacing w:val="-6"/>
          <w:sz w:val="32"/>
          <w:szCs w:val="32"/>
          <w:lang w:val="en-US" w:eastAsia="zh-CN"/>
        </w:rPr>
        <w:t>（三）国有资产占有使用情况。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截至2023年2月底，湟源县农产品质量安全检测中心所属各预算单位共有车辆1辆，其中，省级领导干部用车0辆、厅级领导干部用车0辆、一般公务用车0辆、一般执法执勤用车0辆、特种专业技术用车1辆、其他</w:t>
      </w:r>
      <w:r>
        <w:rPr>
          <w:rFonts w:hint="eastAsia" w:ascii="仿宋_GB2312" w:hAnsi="Times New Roman" w:eastAsia="仿宋_GB2312" w:cs="Times New Roman"/>
          <w:kern w:val="2"/>
          <w:sz w:val="32"/>
          <w:szCs w:val="32"/>
          <w:lang w:val="en-US" w:eastAsia="zh-CN" w:bidi="ar-SA"/>
        </w:rPr>
        <w:t>用车0辆。单价5</w:t>
      </w:r>
      <w:r>
        <w:rPr>
          <w:rFonts w:hint="eastAsia" w:ascii="仿宋_GB2312" w:hAnsi="仿宋" w:eastAsia="仿宋_GB2312" w:cs="Times New Roman"/>
          <w:spacing w:val="-6"/>
          <w:kern w:val="2"/>
          <w:sz w:val="32"/>
          <w:szCs w:val="32"/>
          <w:lang w:val="en-US" w:eastAsia="zh-CN"/>
        </w:rPr>
        <w:t>0万元以上通用设备2台（套），单价100万元以上专用设备0台（套）。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湟源县农产品质量安全检测中心</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10.00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9"/>
        <w:tblW w:w="98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8"/>
        <w:gridCol w:w="973"/>
        <w:gridCol w:w="1872"/>
        <w:gridCol w:w="885"/>
        <w:gridCol w:w="770"/>
        <w:gridCol w:w="1160"/>
        <w:gridCol w:w="1036"/>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87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43"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85"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6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36"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81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7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农产品质量安全宣传</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落实食用农产品合格证制度，确保全县范围内农产品生产企业落实生产主体责任，严格使用食用农产品合格证，提高食用农产品的合格证的使用率，同时确保合格证使用基地农产品的质量安全。</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农产品质量安全宣传</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加强群众对于农产品质量安全的重视程度</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生产经营者的农产品质量安全意识提高</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农产品质量安全检测费</w:t>
            </w:r>
          </w:p>
        </w:tc>
        <w:tc>
          <w:tcPr>
            <w:tcW w:w="9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　保证全年蔬菜农产品合格率在97%以上，瘦肉精合格率达到99%以上，确保全县的农产品质量安全，保障全县人民的舌尖安全。</w:t>
            </w: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检测蔬菜农药残留2100个，瘦肉精检测100个</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蔬菜农产品合格率在97%以上，瘦肉精合格率达到99%以上</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确保全县的农产品质量安全，全县人民的舌尖安全</w:t>
            </w:r>
          </w:p>
        </w:tc>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事业运行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反映事业单位的基本支出，不包括行政单位（包括实行公务员管理的事业单位）后勤服务中心、医务室等附属事业单位。</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bookmarkStart w:id="6" w:name="_GoBack"/>
      <w:bookmarkEnd w:id="6"/>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15</w:t>
    </w:r>
    <w:r>
      <w:rPr>
        <w:rStyle w:val="11"/>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9C167EF"/>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D715B5D"/>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6F969DB"/>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E923A2"/>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75531"/>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682D64"/>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0E4C41"/>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7162CA"/>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4C322C"/>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iPriority w:val="0"/>
    <w:pPr>
      <w:widowControl/>
      <w:spacing w:before="100" w:beforeAutospacing="1" w:after="100" w:afterAutospacing="1"/>
      <w:jc w:val="left"/>
    </w:pPr>
    <w:rPr>
      <w:rFonts w:ascii="宋体" w:hAnsi="宋体" w:cs="宋体"/>
      <w:kern w:val="0"/>
      <w:sz w:val="24"/>
    </w:rPr>
  </w:style>
  <w:style w:type="paragraph" w:styleId="4">
    <w:name w:val="Body Text Indent"/>
    <w:basedOn w:val="1"/>
    <w:next w:val="1"/>
    <w:qFormat/>
    <w:uiPriority w:val="0"/>
    <w:pPr>
      <w:spacing w:after="120"/>
      <w:ind w:left="420" w:leftChars="200"/>
    </w:pPr>
  </w:style>
  <w:style w:type="paragraph" w:styleId="5">
    <w:name w:val="Balloon Text"/>
    <w:basedOn w:val="1"/>
    <w:link w:val="12"/>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unhideWhenUsed/>
    <w:qFormat/>
    <w:uiPriority w:val="99"/>
    <w:pPr>
      <w:ind w:firstLine="420" w:firstLineChars="100"/>
    </w:pPr>
  </w:style>
  <w:style w:type="character" w:styleId="11">
    <w:name w:val="page number"/>
    <w:basedOn w:val="10"/>
    <w:qFormat/>
    <w:uiPriority w:val="0"/>
  </w:style>
  <w:style w:type="character" w:customStyle="1" w:styleId="12">
    <w:name w:val="批注框文本 Char"/>
    <w:link w:val="5"/>
    <w:semiHidden/>
    <w:qFormat/>
    <w:uiPriority w:val="99"/>
    <w:rPr>
      <w:rFonts w:ascii="Times New Roman" w:hAnsi="Times New Roman"/>
      <w:kern w:val="2"/>
      <w:sz w:val="18"/>
      <w:szCs w:val="18"/>
    </w:rPr>
  </w:style>
  <w:style w:type="character" w:customStyle="1" w:styleId="13">
    <w:name w:val="页脚 Char"/>
    <w:link w:val="6"/>
    <w:qFormat/>
    <w:uiPriority w:val="99"/>
    <w:rPr>
      <w:rFonts w:ascii="Times New Roman" w:hAnsi="Times New Roman"/>
      <w:kern w:val="2"/>
      <w:sz w:val="18"/>
      <w:szCs w:val="18"/>
    </w:rPr>
  </w:style>
  <w:style w:type="character" w:customStyle="1" w:styleId="14">
    <w:name w:val="页眉 Char"/>
    <w:link w:val="7"/>
    <w:qFormat/>
    <w:uiPriority w:val="99"/>
    <w:rPr>
      <w:rFonts w:ascii="Times New Roman" w:hAnsi="Times New Roman"/>
      <w:kern w:val="2"/>
      <w:sz w:val="18"/>
      <w:szCs w:val="18"/>
    </w:rPr>
  </w:style>
  <w:style w:type="paragraph" w:styleId="15">
    <w:name w:val="List Paragraph"/>
    <w:basedOn w:val="1"/>
    <w:qFormat/>
    <w:uiPriority w:val="34"/>
    <w:pPr>
      <w:ind w:firstLine="420" w:firstLineChars="200"/>
    </w:pPr>
  </w:style>
  <w:style w:type="paragraph" w:styleId="16">
    <w:name w:val="No Spacing"/>
    <w:link w:val="17"/>
    <w:qFormat/>
    <w:uiPriority w:val="0"/>
    <w:rPr>
      <w:rFonts w:ascii="Calibri" w:hAnsi="Calibri" w:eastAsia="宋体" w:cs="Times New Roman"/>
      <w:sz w:val="22"/>
      <w:szCs w:val="22"/>
      <w:lang w:val="en-US" w:eastAsia="zh-CN" w:bidi="ar-SA"/>
    </w:rPr>
  </w:style>
  <w:style w:type="character" w:customStyle="1" w:styleId="17">
    <w:name w:val="无间隔 Char"/>
    <w:link w:val="16"/>
    <w:qFormat/>
    <w:uiPriority w:val="0"/>
    <w:rPr>
      <w:sz w:val="22"/>
      <w:szCs w:val="22"/>
      <w:lang w:bidi="ar-SA"/>
    </w:rPr>
  </w:style>
  <w:style w:type="paragraph" w:customStyle="1" w:styleId="18">
    <w:name w:val="正文1"/>
    <w:basedOn w:val="1"/>
    <w:qFormat/>
    <w:uiPriority w:val="0"/>
    <w:pPr>
      <w:widowControl/>
    </w:pPr>
    <w:rPr>
      <w:rFonts w:eastAsia="Times New Roman"/>
      <w:kern w:val="0"/>
      <w:lang w:val="zh-CN"/>
    </w:rPr>
  </w:style>
  <w:style w:type="character" w:customStyle="1" w:styleId="19">
    <w:name w:val="font0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6052</Words>
  <Characters>7281</Characters>
  <Lines>43</Lines>
  <Paragraphs>12</Paragraphs>
  <TotalTime>17</TotalTime>
  <ScaleCrop>false</ScaleCrop>
  <LinksUpToDate>false</LinksUpToDate>
  <CharactersWithSpaces>7381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2023-06-06T07:52:00Z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4239EF50B5FF493AAA4C5B5E8E47B2E6_13</vt:lpwstr>
  </property>
</Properties>
</file>