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vAlign w:val="top"/>
          </w:tcPr>
          <w:p>
            <w:pPr>
              <w:pStyle w:val="16"/>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vAlign w:val="center"/>
          </w:tcPr>
          <w:p>
            <w:pPr>
              <w:pStyle w:val="16"/>
              <w:jc w:val="center"/>
              <w:rPr>
                <w:rFonts w:hint="eastAsia" w:ascii="Cambria" w:hAnsi="Cambria"/>
                <w:b/>
                <w:sz w:val="80"/>
                <w:szCs w:val="80"/>
                <w:lang w:val="en-US" w:eastAsia="zh-CN"/>
              </w:rPr>
            </w:pPr>
            <w:r>
              <w:rPr>
                <w:rFonts w:hint="eastAsia" w:ascii="Cambria" w:hAnsi="Cambria"/>
                <w:b/>
                <w:sz w:val="80"/>
                <w:szCs w:val="80"/>
                <w:lang w:val="en-US" w:eastAsia="zh-CN"/>
              </w:rPr>
              <w:t>湟源县农业生态环境与</w:t>
            </w:r>
          </w:p>
          <w:p>
            <w:pPr>
              <w:pStyle w:val="16"/>
              <w:jc w:val="center"/>
              <w:rPr>
                <w:rFonts w:ascii="Cambria" w:hAnsi="Cambria"/>
                <w:b/>
                <w:sz w:val="80"/>
                <w:szCs w:val="80"/>
              </w:rPr>
            </w:pPr>
            <w:r>
              <w:rPr>
                <w:rFonts w:hint="eastAsia" w:ascii="Cambria" w:hAnsi="Cambria"/>
                <w:b/>
                <w:sz w:val="80"/>
                <w:szCs w:val="80"/>
                <w:lang w:val="en-US" w:eastAsia="zh-CN"/>
              </w:rPr>
              <w:t>可再生能源工作站</w:t>
            </w:r>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vAlign w:val="center"/>
          </w:tcPr>
          <w:p>
            <w:pPr>
              <w:pStyle w:val="16"/>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vAlign w:val="center"/>
          </w:tcPr>
          <w:p>
            <w:pPr>
              <w:pStyle w:val="16"/>
              <w:jc w:val="center"/>
            </w:pPr>
          </w:p>
        </w:tc>
      </w:tr>
    </w:tbl>
    <w:p/>
    <w:tbl>
      <w:tblPr>
        <w:tblStyle w:val="9"/>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vAlign w:val="top"/>
          </w:tcPr>
          <w:p>
            <w:pPr>
              <w:pStyle w:val="16"/>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湟源县</w:t>
      </w:r>
      <w:r>
        <w:rPr>
          <w:rFonts w:hint="eastAsia" w:ascii="仿宋_GB2312" w:hAnsi="Times New Roman" w:eastAsia="仿宋_GB2312" w:cs="仿宋"/>
          <w:sz w:val="32"/>
          <w:szCs w:val="32"/>
          <w:lang w:val="en-US" w:eastAsia="zh-CN"/>
        </w:rPr>
        <w:t>农业生态环境与可再生能源工作站主要</w:t>
      </w:r>
      <w:r>
        <w:rPr>
          <w:rFonts w:hint="eastAsia" w:ascii="仿宋_GB2312" w:hAnsi="Times New Roman" w:eastAsia="仿宋_GB2312" w:cs="仿宋"/>
          <w:sz w:val="32"/>
          <w:szCs w:val="32"/>
          <w:lang w:eastAsia="zh-CN"/>
        </w:rPr>
        <w:t>承担全县土壤、气候等农业生态环境的监测工作；承担全县太阳能、沼气池等新能源技术推广应用和服务工作。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2023年度预算编制范围共有机构数1个，为湟源县农业生态环境与可再生能源工作站。</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sz w:val="32"/>
          <w:szCs w:val="32"/>
          <w:u w:val="single"/>
        </w:rPr>
      </w:pPr>
      <w:r>
        <w:rPr>
          <w:rFonts w:hint="eastAsia" w:ascii="仿宋_GB2312" w:hAnsi="Times New Roman" w:eastAsia="仿宋_GB2312" w:cs="仿宋"/>
          <w:sz w:val="32"/>
          <w:szCs w:val="32"/>
          <w:lang w:val="en-US" w:eastAsia="zh-CN"/>
        </w:rPr>
        <w:t>纳入湟源县农业生态环境与可再生能源工作站2023年部门预算编制范围的二级预算单位包括：</w:t>
      </w:r>
    </w:p>
    <w:tbl>
      <w:tblPr>
        <w:tblStyle w:val="9"/>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9"/>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150.42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97.03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150.42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150.42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150.42</w:t>
            </w:r>
          </w:p>
        </w:tc>
      </w:tr>
    </w:tbl>
    <w:p>
      <w:pPr>
        <w:rPr>
          <w:rFonts w:hint="eastAsia" w:ascii="仿宋_GB2312" w:eastAsia="仿宋_GB2312"/>
          <w:sz w:val="32"/>
          <w:szCs w:val="32"/>
          <w:lang w:val="en-US" w:eastAsia="zh-CN"/>
        </w:rPr>
      </w:pPr>
    </w:p>
    <w:tbl>
      <w:tblPr>
        <w:tblStyle w:val="9"/>
        <w:tblpPr w:leftFromText="180" w:rightFromText="180" w:vertAnchor="text" w:horzAnchor="page" w:tblpXSpec="center" w:tblpY="618"/>
        <w:tblOverlap w:val="never"/>
        <w:tblW w:w="11201" w:type="dxa"/>
        <w:jc w:val="center"/>
        <w:tblLayout w:type="fixed"/>
        <w:tblCellMar>
          <w:top w:w="0" w:type="dxa"/>
          <w:left w:w="108" w:type="dxa"/>
          <w:bottom w:w="0" w:type="dxa"/>
          <w:right w:w="108" w:type="dxa"/>
        </w:tblCellMar>
      </w:tblPr>
      <w:tblGrid>
        <w:gridCol w:w="933"/>
        <w:gridCol w:w="933"/>
        <w:gridCol w:w="933"/>
        <w:gridCol w:w="933"/>
        <w:gridCol w:w="933"/>
        <w:gridCol w:w="933"/>
        <w:gridCol w:w="933"/>
        <w:gridCol w:w="933"/>
        <w:gridCol w:w="933"/>
        <w:gridCol w:w="933"/>
        <w:gridCol w:w="933"/>
        <w:gridCol w:w="938"/>
      </w:tblGrid>
      <w:tr>
        <w:tblPrEx>
          <w:tblCellMar>
            <w:top w:w="0" w:type="dxa"/>
            <w:left w:w="108" w:type="dxa"/>
            <w:bottom w:w="0" w:type="dxa"/>
            <w:right w:w="108" w:type="dxa"/>
          </w:tblCellMar>
        </w:tblPrEx>
        <w:trPr>
          <w:trHeight w:val="392" w:hRule="atLeast"/>
          <w:jc w:val="center"/>
        </w:trPr>
        <w:tc>
          <w:tcPr>
            <w:tcW w:w="11201" w:type="dxa"/>
            <w:gridSpan w:val="12"/>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01"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01"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湟源县农业生态环境与可再生能源工作站</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150.42</w:t>
            </w: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125" w:type="dxa"/>
        <w:jc w:val="center"/>
        <w:tblLayout w:type="fixed"/>
        <w:tblCellMar>
          <w:top w:w="0" w:type="dxa"/>
          <w:left w:w="108" w:type="dxa"/>
          <w:bottom w:w="0" w:type="dxa"/>
          <w:right w:w="108" w:type="dxa"/>
        </w:tblCellMar>
      </w:tblPr>
      <w:tblGrid>
        <w:gridCol w:w="1100"/>
        <w:gridCol w:w="3803"/>
        <w:gridCol w:w="1037"/>
        <w:gridCol w:w="1037"/>
        <w:gridCol w:w="1037"/>
        <w:gridCol w:w="1037"/>
        <w:gridCol w:w="1037"/>
        <w:gridCol w:w="1037"/>
      </w:tblGrid>
      <w:tr>
        <w:tblPrEx>
          <w:tblCellMar>
            <w:top w:w="0" w:type="dxa"/>
            <w:left w:w="108" w:type="dxa"/>
            <w:bottom w:w="0" w:type="dxa"/>
            <w:right w:w="108" w:type="dxa"/>
          </w:tblCellMar>
        </w:tblPrEx>
        <w:trPr>
          <w:trHeight w:val="187" w:hRule="atLeast"/>
          <w:jc w:val="center"/>
        </w:trPr>
        <w:tc>
          <w:tcPr>
            <w:tcW w:w="11125" w:type="dxa"/>
            <w:gridSpan w:val="8"/>
            <w:tcBorders>
              <w:top w:val="nil"/>
              <w:left w:val="nil"/>
              <w:bottom w:val="nil"/>
              <w:right w:val="nil"/>
            </w:tcBorders>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25" w:type="dxa"/>
            <w:gridSpan w:val="8"/>
            <w:tcBorders>
              <w:top w:val="nil"/>
              <w:left w:val="nil"/>
              <w:bottom w:val="nil"/>
              <w:right w:val="nil"/>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25" w:type="dxa"/>
            <w:gridSpan w:val="8"/>
            <w:tcBorders>
              <w:top w:val="nil"/>
              <w:left w:val="nil"/>
              <w:bottom w:val="single" w:color="auto" w:sz="4" w:space="0"/>
              <w:right w:val="nil"/>
            </w:tcBorders>
            <w:shd w:val="clear" w:color="auto" w:fill="FFFFFF"/>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150.42</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146.42</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3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30.53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30.53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30.08</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30.08</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5.36</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5.36</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12.51</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5.16</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5.16</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9"/>
        <w:tblpPr w:leftFromText="180" w:rightFromText="180" w:vertAnchor="text" w:horzAnchor="page" w:tblpXSpec="center" w:tblpY="183"/>
        <w:tblOverlap w:val="never"/>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084"/>
        <w:gridCol w:w="2074"/>
        <w:gridCol w:w="1122"/>
        <w:gridCol w:w="124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3"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03" w:type="dxa"/>
            <w:gridSpan w:val="6"/>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3" w:type="dxa"/>
            <w:gridSpan w:val="6"/>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3" w:type="dxa"/>
            <w:gridSpan w:val="2"/>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7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22"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3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150.42</w:t>
            </w: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150.42</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150.42</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150.42</w:t>
            </w: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30.53</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30.53</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12.51</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12.51</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97.03</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97.03</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vAlign w:val="center"/>
          </w:tcPr>
          <w:p>
            <w:pPr>
              <w:widowControl/>
              <w:jc w:val="center"/>
              <w:rPr>
                <w:rFonts w:ascii="宋体" w:hAnsi="宋体" w:cs="宋体"/>
                <w:kern w:val="0"/>
                <w:sz w:val="20"/>
              </w:rPr>
            </w:pPr>
          </w:p>
        </w:tc>
        <w:tc>
          <w:tcPr>
            <w:tcW w:w="2074" w:type="dxa"/>
            <w:shd w:val="clear" w:color="auto" w:fill="FFFFFF"/>
            <w:vAlign w:val="center"/>
          </w:tcPr>
          <w:p>
            <w:pPr>
              <w:widowControl/>
              <w:jc w:val="left"/>
              <w:rPr>
                <w:rFonts w:ascii="宋体" w:hAnsi="宋体" w:cs="宋体"/>
                <w:kern w:val="0"/>
                <w:sz w:val="20"/>
              </w:rPr>
            </w:pPr>
          </w:p>
        </w:tc>
        <w:tc>
          <w:tcPr>
            <w:tcW w:w="1122" w:type="dxa"/>
            <w:shd w:val="clear" w:color="auto" w:fill="FFFFFF"/>
            <w:vAlign w:val="center"/>
          </w:tcPr>
          <w:p>
            <w:pPr>
              <w:widowControl/>
              <w:jc w:val="center"/>
              <w:rPr>
                <w:rFonts w:ascii="宋体" w:hAnsi="宋体" w:eastAsia="宋体" w:cs="宋体"/>
                <w:kern w:val="0"/>
                <w:sz w:val="20"/>
                <w:lang w:val="en-US" w:eastAsia="zh-CN" w:bidi="ar-SA"/>
              </w:rPr>
            </w:pPr>
          </w:p>
        </w:tc>
        <w:tc>
          <w:tcPr>
            <w:tcW w:w="1244" w:type="dxa"/>
            <w:shd w:val="clear" w:color="auto" w:fill="FFFFFF"/>
            <w:vAlign w:val="center"/>
          </w:tcPr>
          <w:p>
            <w:pPr>
              <w:widowControl/>
              <w:jc w:val="center"/>
              <w:rPr>
                <w:rFonts w:ascii="宋体" w:hAnsi="宋体" w:eastAsia="宋体" w:cs="宋体"/>
                <w:kern w:val="0"/>
                <w:sz w:val="20"/>
                <w:lang w:val="en-US" w:eastAsia="zh-CN" w:bidi="ar-SA"/>
              </w:rPr>
            </w:pP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9"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150.42</w:t>
            </w:r>
          </w:p>
        </w:tc>
        <w:tc>
          <w:tcPr>
            <w:tcW w:w="2074"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2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150.42</w:t>
            </w:r>
          </w:p>
        </w:tc>
        <w:tc>
          <w:tcPr>
            <w:tcW w:w="1244"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150.42</w:t>
            </w:r>
          </w:p>
        </w:tc>
        <w:tc>
          <w:tcPr>
            <w:tcW w:w="1230" w:type="dxa"/>
            <w:shd w:val="clear" w:color="auto" w:fill="FFFFFF"/>
            <w:vAlign w:val="center"/>
          </w:tcPr>
          <w:p>
            <w:pPr>
              <w:widowControl/>
              <w:jc w:val="center"/>
              <w:rPr>
                <w:rFonts w:ascii="宋体" w:hAnsi="宋体" w:eastAsia="宋体" w:cs="宋体"/>
                <w:kern w:val="0"/>
                <w:sz w:val="20"/>
                <w:lang w:val="en-US" w:eastAsia="zh-CN" w:bidi="ar-SA"/>
              </w:rPr>
            </w:pPr>
          </w:p>
        </w:tc>
      </w:tr>
    </w:tbl>
    <w:p>
      <w:r>
        <w:br w:type="page"/>
      </w:r>
    </w:p>
    <w:tbl>
      <w:tblPr>
        <w:tblStyle w:val="9"/>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46"/>
        <w:gridCol w:w="1371"/>
        <w:gridCol w:w="1371"/>
        <w:gridCol w:w="137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9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150.42</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146.42</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30.53</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30.53</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30.08</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30.08</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10.71</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10.71</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5.36</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5.36</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14.01</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14.01</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0.45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0.45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12.51</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12.51</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12.51</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12.51</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7.35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5.16</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5.16</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97.03</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93.03</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97.03</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93.03</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97.03</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93.03</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10.35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10.35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10.35</w:t>
            </w:r>
          </w:p>
        </w:tc>
        <w:tc>
          <w:tcPr>
            <w:tcW w:w="13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3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245" w:type="dxa"/>
        <w:jc w:val="center"/>
        <w:tblLayout w:type="fixed"/>
        <w:tblCellMar>
          <w:top w:w="0" w:type="dxa"/>
          <w:left w:w="108" w:type="dxa"/>
          <w:bottom w:w="0" w:type="dxa"/>
          <w:right w:w="108" w:type="dxa"/>
        </w:tblCellMar>
      </w:tblPr>
      <w:tblGrid>
        <w:gridCol w:w="650"/>
        <w:gridCol w:w="650"/>
        <w:gridCol w:w="2803"/>
        <w:gridCol w:w="2154"/>
        <w:gridCol w:w="2494"/>
        <w:gridCol w:w="24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1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03"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146.42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142.28</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4.13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125.13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125.13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24.55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24.55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0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15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9"/>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0.92</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0.92</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湟源县农业生态环境与可再生能源工作站2023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湟源县农业生态环境与可再生能源工作站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一般公共预算拨款收入150.42万元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社会保障和就业支出30.53万元，卫生健康支出12.51万元，农林水支出97.03万元，住房保障支出10.35万元</w:t>
      </w:r>
      <w:r>
        <w:rPr>
          <w:rFonts w:hint="eastAsia" w:ascii="仿宋_GB2312" w:eastAsia="仿宋_GB2312"/>
          <w:sz w:val="32"/>
          <w:szCs w:val="32"/>
        </w:rPr>
        <w:t>。</w:t>
      </w: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年收支总预算</w:t>
      </w:r>
      <w:r>
        <w:rPr>
          <w:rFonts w:hint="eastAsia" w:ascii="仿宋_GB2312" w:eastAsia="仿宋_GB2312"/>
          <w:sz w:val="32"/>
          <w:szCs w:val="32"/>
          <w:lang w:val="en-US" w:eastAsia="zh-CN"/>
        </w:rPr>
        <w:t>150.42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湟源县农业生态环境与可再生能源工作站2023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年收入预算</w:t>
      </w:r>
      <w:r>
        <w:rPr>
          <w:rFonts w:hint="eastAsia" w:ascii="仿宋_GB2312" w:eastAsia="仿宋_GB2312"/>
          <w:sz w:val="32"/>
          <w:szCs w:val="32"/>
          <w:lang w:val="en-US" w:eastAsia="zh-CN"/>
        </w:rPr>
        <w:t>150.42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一般公共预算拨款收入150.42万元，占100.00%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65pt;width:351.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湟源县农业生态环境与可再生能源工作站2023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年支出预算</w:t>
      </w:r>
      <w:r>
        <w:rPr>
          <w:rFonts w:hint="eastAsia" w:ascii="仿宋_GB2312" w:eastAsia="仿宋_GB2312"/>
          <w:sz w:val="32"/>
          <w:szCs w:val="32"/>
          <w:lang w:val="en-US" w:eastAsia="zh-CN"/>
        </w:rPr>
        <w:t>150.42</w:t>
      </w:r>
      <w:r>
        <w:rPr>
          <w:rFonts w:hint="eastAsia" w:ascii="仿宋_GB2312" w:eastAsia="仿宋_GB2312"/>
          <w:sz w:val="32"/>
          <w:szCs w:val="32"/>
        </w:rPr>
        <w:t>万元，其中：</w:t>
      </w:r>
      <w:r>
        <w:rPr>
          <w:rFonts w:hint="eastAsia" w:ascii="仿宋_GB2312" w:eastAsia="仿宋_GB2312"/>
          <w:sz w:val="32"/>
          <w:szCs w:val="32"/>
          <w:lang w:val="en-US" w:eastAsia="zh-CN"/>
        </w:rPr>
        <w:t>基本支出146.42万元，占97.34%；项目支出4.00万元，占2.66%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9.6pt;width:346.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湟源县农业生态环境与可再生能源工作站2023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150.42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增加11.84</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财政收入补助增加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一般公共预算拨款收入150.42万元，上年结转0.00万元；政府性基金预算拨款收入0.00万元，上年结转0.00万元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社会保障和就业支出30.53万元， 卫生健康支出12.51万元， 农林水支出97.03万元， 住房保障支出10.35万元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45000" cy="20447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445000" cy="204470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湟源县农业生态环境与可再生能源工作站2023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150.42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增加11.84</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财政收入补助增加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1.4pt;width:354.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社会保障和就业支出30.53万元，占20.30%；卫生健康支出12.51万元，占8.32%；农林水支出97.03万元，占64.51%；住房保障支出10.35万元，占6.88%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9.85pt;width:347.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社会保障和就业支出（类）行政事业单位养老支出（款）机关事业单位基本养老保险缴费支出（项）2023年预算数为10.71万元，比上年增加1.85万元，增长20.88%。主要是工资调整，基数变更，机关事业单位基本养老保险缴费支出相应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社会保障和就业支出（类）行政事业单位养老支出（款）机关事业单位职业年金缴费支出（项）2023年预算数为5.36万元，比上年增加0.93万元，增长20.99%。主要是工资调整，基数变更，机关事业单位基本养老保险缴费支出相应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3、社会保障和就业支出（类）行政事业单位养老支出（款）其他行政事业单位养老支出（项）2023年预算数为14.01万元，比上年增加5.10万元，增长57.24%。主要是工资调整，基数变更，机关事业单位基本养老保险缴费支出相应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4、社会保障和就业支出（类）其他社会保障和就业支出（款）其他社会保障和就业支出（项）2023年预算数为0.45万元，比上年减少0.04万元，下降8.16%。主要是人员相比2022年减少1人，事业单位医疗相应减少。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5、卫生健康支出（类）行政事业单位医疗（款）事业单位医疗（项）2023年预算数为7.35万元，比上年增加0.09万元，增长1.24%。主要是人员相比2022年减少1人，公务员医疗补助相应减少。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6、卫生健康支出（类）行政事业单位医疗（款）公务员医疗补助（项）2023年预算数为5.16万元，比上年减少0.37万元，下降6.69%。主要是人员相比2022年减少1人，公务员医疗补助相应减少。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7、农林水支出（类）农业农村（款）事业运行（项）2023年预算数为97.03万元，比上年增加2.24万元，增长2.36%。主要是工资调整，基数变更，住房公积金相应增加。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8、住房保障支出（类）住房改革支出（款）住房公积金（项）2023年预算数为10.35万元，比上年增加2.03万元，增长24.40%。主要是工资调整，基数变更，住房公积金相应增加。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湟源县农业生态环境与可再生能源工作站2023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146.42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142.28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24.55万元、津贴补贴27.20万元、绩效工资37.15万元、机关事业单位基本养老保险缴费10.71万元、职业年金缴费5.36万元、职工基本医疗保险缴费4.20万元、公务员医疗补助缴费5.16万元、其他社会保障缴费0.45万元、住房公积金10.35万元、退休费14.01万元、医疗费补助3.15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4.13</w:t>
      </w:r>
      <w:r>
        <w:rPr>
          <w:rFonts w:hint="eastAsia" w:ascii="仿宋_GB2312" w:eastAsia="仿宋_GB2312"/>
          <w:sz w:val="32"/>
          <w:szCs w:val="32"/>
        </w:rPr>
        <w:t>万元，主要包括：</w:t>
      </w:r>
      <w:r>
        <w:rPr>
          <w:rFonts w:hint="eastAsia" w:ascii="仿宋_GB2312" w:eastAsia="仿宋_GB2312"/>
          <w:sz w:val="32"/>
          <w:szCs w:val="32"/>
          <w:lang w:val="en-US" w:eastAsia="zh-CN"/>
        </w:rPr>
        <w:t>办公费0.18万元、水费0.12万元、电费0.12万元、邮电费0.30万元、取暖费0.60万元、差旅费0.24万元、公务接待费0.12万元、工会经费1.29万元、公务用车运行维护费0.80万元、其他商品和服务支出0.36万元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湟源县农业生态环境与可再生能源工作站2023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w:t>
      </w:r>
      <w:r>
        <w:rPr>
          <w:rFonts w:hint="eastAsia" w:ascii="仿宋_GB2312" w:eastAsia="仿宋_GB2312"/>
          <w:sz w:val="32"/>
          <w:szCs w:val="32"/>
          <w:highlight w:val="none"/>
        </w:rPr>
        <w:t>算</w:t>
      </w:r>
      <w:r>
        <w:rPr>
          <w:rFonts w:hint="eastAsia" w:ascii="仿宋_GB2312" w:eastAsia="仿宋_GB2312"/>
          <w:sz w:val="32"/>
          <w:szCs w:val="32"/>
          <w:highlight w:val="none"/>
          <w:lang w:val="en-US" w:eastAsia="zh-CN"/>
        </w:rPr>
        <w:t>与上年没有变化。</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湟源县农业生态环境与可再生能源工作站2023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湟源县农业生态环境与可再生能源工作站2023</w:t>
      </w:r>
      <w:r>
        <w:rPr>
          <w:rFonts w:hint="eastAsia" w:ascii="仿宋_GB2312" w:eastAsia="仿宋_GB2312"/>
          <w:sz w:val="32"/>
          <w:szCs w:val="32"/>
        </w:rPr>
        <w:t>年没有使用政府性基金预算拨款安排的支出。</w:t>
      </w:r>
      <w:bookmarkStart w:id="6" w:name="_GoBack"/>
      <w:bookmarkEnd w:id="6"/>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2023年湟源县农业生态环境与可再生能源工作站机关运行经费财政拨款预算4.13万元，比上年预算减少0.12万元，下降2.82%。主要是人员相比2022年减少1人。</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2023年湟源县农业生态环境与可再生能源工作站各单位政府采购预算总额0万元，其中：政府采购货物预算0万元、政府采购工程预算0万元、政府采购服务预算0万元。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截至2023年2月底，湟源县农业生态环境与可再生能源工作站所属各预算单位共有车辆1辆，其中，省级领导干部用车0辆、厅级领导干部用车0辆、一般公务用车0辆、一般执法执勤用车0辆、特种专业技术用车1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2023年湟源县农业生态环境与可再生能源工作站预算均实行绩效目标管理，涉及项目1个，预算金额4.00万元。</w:t>
      </w:r>
    </w:p>
    <w:p>
      <w:pPr>
        <w:jc w:val="center"/>
        <w:rPr>
          <w:rFonts w:hint="eastAsia" w:ascii="仿宋_GB2312" w:eastAsia="仿宋_GB2312"/>
          <w:b/>
          <w:sz w:val="32"/>
          <w:szCs w:val="32"/>
        </w:rPr>
      </w:pPr>
    </w:p>
    <w:tbl>
      <w:tblPr>
        <w:tblStyle w:val="9"/>
        <w:tblW w:w="9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4"/>
        <w:gridCol w:w="1000"/>
        <w:gridCol w:w="1748"/>
        <w:gridCol w:w="836"/>
        <w:gridCol w:w="480"/>
        <w:gridCol w:w="290"/>
        <w:gridCol w:w="592"/>
        <w:gridCol w:w="882"/>
        <w:gridCol w:w="882"/>
        <w:gridCol w:w="88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876"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42"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1316" w:type="dxa"/>
            <w:gridSpan w:val="2"/>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gridSpan w:val="2"/>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2"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农村沼气安全处置及秸秆综合利用</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让广大群众充分认识秸秆机械化综合利用技术的重大意义。</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督查次数</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经济效益指标</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提高工作效率</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4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充分认识利用的综合意义</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工作日</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除上述项目以外其他用于行政事业单位养老方面的支出。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事业运行</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反映事业单位的基本支出，不包括行政单位（包括实行公务员管理的事业单位）后勤服务中心、医务室等附属事业单位。</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15</w:t>
    </w:r>
    <w:r>
      <w:rPr>
        <w:rStyle w:val="11"/>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1886"/>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25160"/>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8952F2"/>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8431F1"/>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45153"/>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090A03"/>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3F6645"/>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6F51"/>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A61EBB"/>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67DC4"/>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43836"/>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C43A4D"/>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057FBC"/>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widowControl/>
      <w:spacing w:before="100" w:beforeAutospacing="1" w:after="100" w:afterAutospacing="1"/>
      <w:jc w:val="left"/>
    </w:pPr>
    <w:rPr>
      <w:rFonts w:ascii="宋体" w:hAnsi="宋体" w:cs="宋体"/>
      <w:kern w:val="0"/>
      <w:sz w:val="24"/>
    </w:rPr>
  </w:style>
  <w:style w:type="paragraph" w:styleId="4">
    <w:name w:val="Body Text Indent"/>
    <w:basedOn w:val="1"/>
    <w:next w:val="1"/>
    <w:unhideWhenUsed/>
    <w:uiPriority w:val="99"/>
    <w:pPr>
      <w:spacing w:after="120"/>
      <w:ind w:left="420" w:leftChars="200"/>
    </w:pPr>
  </w:style>
  <w:style w:type="paragraph" w:styleId="5">
    <w:name w:val="Balloon Text"/>
    <w:basedOn w:val="1"/>
    <w:link w:val="12"/>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unhideWhenUsed/>
    <w:qFormat/>
    <w:uiPriority w:val="99"/>
    <w:pPr>
      <w:ind w:firstLine="420" w:firstLineChars="100"/>
    </w:pPr>
  </w:style>
  <w:style w:type="character" w:styleId="11">
    <w:name w:val="page number"/>
    <w:basedOn w:val="10"/>
    <w:qFormat/>
    <w:uiPriority w:val="0"/>
  </w:style>
  <w:style w:type="character" w:customStyle="1" w:styleId="12">
    <w:name w:val="批注框文本 Char"/>
    <w:link w:val="5"/>
    <w:semiHidden/>
    <w:qFormat/>
    <w:uiPriority w:val="99"/>
    <w:rPr>
      <w:rFonts w:ascii="Times New Roman" w:hAnsi="Times New Roman"/>
      <w:kern w:val="2"/>
      <w:sz w:val="18"/>
      <w:szCs w:val="18"/>
    </w:rPr>
  </w:style>
  <w:style w:type="character" w:customStyle="1" w:styleId="13">
    <w:name w:val="页脚 Char"/>
    <w:link w:val="6"/>
    <w:qFormat/>
    <w:uiPriority w:val="99"/>
    <w:rPr>
      <w:rFonts w:ascii="Times New Roman" w:hAnsi="Times New Roman"/>
      <w:kern w:val="2"/>
      <w:sz w:val="18"/>
      <w:szCs w:val="18"/>
    </w:rPr>
  </w:style>
  <w:style w:type="character" w:customStyle="1" w:styleId="14">
    <w:name w:val="页眉 Char"/>
    <w:link w:val="7"/>
    <w:qFormat/>
    <w:uiPriority w:val="99"/>
    <w:rPr>
      <w:rFonts w:ascii="Times New Roman" w:hAnsi="Times New Roman"/>
      <w:kern w:val="2"/>
      <w:sz w:val="18"/>
      <w:szCs w:val="18"/>
    </w:rPr>
  </w:style>
  <w:style w:type="paragraph" w:customStyle="1" w:styleId="15">
    <w:name w:val="List Paragraph"/>
    <w:basedOn w:val="1"/>
    <w:qFormat/>
    <w:uiPriority w:val="34"/>
    <w:pPr>
      <w:ind w:firstLine="420" w:firstLineChars="200"/>
    </w:pPr>
  </w:style>
  <w:style w:type="paragraph" w:customStyle="1" w:styleId="16">
    <w:name w:val="No Spacing"/>
    <w:link w:val="17"/>
    <w:qFormat/>
    <w:uiPriority w:val="0"/>
    <w:rPr>
      <w:rFonts w:ascii="Calibri" w:hAnsi="Calibri" w:eastAsia="宋体" w:cs="Times New Roman"/>
      <w:sz w:val="22"/>
      <w:szCs w:val="22"/>
      <w:lang w:val="en-US" w:eastAsia="zh-CN" w:bidi="ar-SA"/>
    </w:rPr>
  </w:style>
  <w:style w:type="character" w:customStyle="1" w:styleId="17">
    <w:name w:val="无间隔 Char"/>
    <w:link w:val="16"/>
    <w:qFormat/>
    <w:uiPriority w:val="0"/>
    <w:rPr>
      <w:sz w:val="22"/>
      <w:szCs w:val="22"/>
      <w:lang w:bidi="ar-SA"/>
    </w:rPr>
  </w:style>
  <w:style w:type="paragraph" w:customStyle="1" w:styleId="18">
    <w:name w:val="正文1"/>
    <w:basedOn w:val="1"/>
    <w:qFormat/>
    <w:uiPriority w:val="0"/>
    <w:pPr>
      <w:widowControl/>
    </w:pPr>
    <w:rPr>
      <w:rFonts w:eastAsia="Times New Roman"/>
      <w:kern w:val="0"/>
      <w:lang w:val="zh-CN"/>
    </w:rPr>
  </w:style>
  <w:style w:type="character" w:customStyle="1" w:styleId="19">
    <w:name w:val="font6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6168</Words>
  <Characters>7412</Characters>
  <Lines>43</Lines>
  <Paragraphs>12</Paragraphs>
  <TotalTime>0</TotalTime>
  <ScaleCrop>false</ScaleCrop>
  <LinksUpToDate>false</LinksUpToDate>
  <CharactersWithSpaces>7514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2023-06-08T06:58:37Z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9B94C32522E04913BB72C39A7C9D4C04_13</vt:lpwstr>
  </property>
</Properties>
</file>