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9060" w:type="dxa"/>
            <w:vAlign w:val="top"/>
          </w:tcPr>
          <w:p>
            <w:pPr>
              <w:pStyle w:val="11"/>
              <w:rPr>
                <w:rFonts w:hint="eastAsia" w:ascii="仿宋_GB2312" w:hAnsi="Cambria" w:eastAsia="仿宋_GB2312"/>
                <w:cap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060" w:type="dxa"/>
            <w:tcBorders>
              <w:bottom w:val="single" w:color="4F81BD" w:sz="4" w:space="0"/>
            </w:tcBorders>
            <w:vAlign w:val="center"/>
          </w:tcPr>
          <w:p>
            <w:pPr>
              <w:pStyle w:val="11"/>
              <w:jc w:val="center"/>
              <w:rPr>
                <w:rFonts w:ascii="Cambria" w:hAnsi="Cambria"/>
                <w:b/>
                <w:sz w:val="80"/>
                <w:szCs w:val="80"/>
              </w:rPr>
            </w:pPr>
            <w:r>
              <w:rPr>
                <w:rFonts w:hint="eastAsia" w:ascii="Cambria" w:hAnsi="Cambria"/>
                <w:b/>
                <w:sz w:val="80"/>
                <w:szCs w:val="80"/>
                <w:lang w:val="en-US" w:eastAsia="zh-CN"/>
              </w:rPr>
              <w:t>湟源县社会保险服务局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060" w:type="dxa"/>
            <w:tcBorders>
              <w:top w:val="single" w:color="4F81BD" w:sz="4" w:space="0"/>
            </w:tcBorders>
            <w:vAlign w:val="center"/>
          </w:tcPr>
          <w:p>
            <w:pPr>
              <w:pStyle w:val="11"/>
              <w:jc w:val="center"/>
              <w:rPr>
                <w:rFonts w:ascii="Cambria" w:hAnsi="Cambria"/>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060" w:type="dxa"/>
            <w:vAlign w:val="center"/>
          </w:tcPr>
          <w:p>
            <w:pPr>
              <w:pStyle w:val="11"/>
              <w:jc w:val="center"/>
            </w:pPr>
          </w:p>
        </w:tc>
      </w:tr>
    </w:tbl>
    <w:p/>
    <w:tbl>
      <w:tblPr>
        <w:tblStyle w:val="7"/>
        <w:tblpPr w:leftFromText="187" w:rightFromText="187" w:horzAnchor="margin" w:tblpXSpec="center" w:tblpYSpec="bottom"/>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vAlign w:val="top"/>
          </w:tcPr>
          <w:p>
            <w:pPr>
              <w:pStyle w:val="11"/>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(一)承担本级机关事业单位基本养老保险、机关事业单位职业年金、城镇企业职工基本养老保险、城乡居民基本养老保险、工伤保险、失业保险经办服务工作。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(二)负责社会保险费征缴工作，负责办理参保单位和人员社会保险登记、增减变动和关系转移；负责社会保障卡管理工作；负责参保人员各项社会保险待遇的审核支付。</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(三)负责本级社会保险基金财务管理、会计核算和运行分析工作；承担社会保险基金预决算的编制、执行；进行社会保险精算及数据分析。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(四)负责本级社保经办业务的内部稽核和机构内控工作；组织实施社会保险待遇的稽核工作。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(五)组织本统筹地区机关事业单位、企业退休人员社会保险社会化管理服务工作。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湟源县社会保险服务局下设八个科室，包括:局办公室、档案室、稽核科、财务科、职工养老科、失业工伤科、城居办、公共业务科。</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纳入湟源县社会保险服务局2023年部门预算编制范围二级预算单位包括：</w:t>
      </w:r>
    </w:p>
    <w:tbl>
      <w:tblPr>
        <w:tblStyle w:val="7"/>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7"/>
        <w:tblW w:w="987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5"/>
        <w:gridCol w:w="1575"/>
        <w:gridCol w:w="283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870" w:type="dxa"/>
            <w:gridSpan w:val="4"/>
            <w:tcBorders>
              <w:top w:val="nil"/>
              <w:left w:val="nil"/>
              <w:bottom w:val="nil"/>
              <w:right w:val="nil"/>
            </w:tcBorders>
            <w:shd w:val="clear" w:color="auto"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870" w:type="dxa"/>
            <w:gridSpan w:val="4"/>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54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3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1073.95</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1073.95</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1073.95</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1073.95</w:t>
            </w:r>
          </w:p>
        </w:tc>
      </w:tr>
    </w:tbl>
    <w:p>
      <w:pPr>
        <w:rPr>
          <w:rFonts w:hint="eastAsia" w:ascii="仿宋_GB2312" w:eastAsia="仿宋_GB2312"/>
          <w:sz w:val="32"/>
          <w:szCs w:val="32"/>
          <w:lang w:val="en-US" w:eastAsia="zh-CN"/>
        </w:rPr>
      </w:pPr>
    </w:p>
    <w:tbl>
      <w:tblPr>
        <w:tblStyle w:val="7"/>
        <w:tblpPr w:leftFromText="180" w:rightFromText="180" w:vertAnchor="text" w:horzAnchor="page" w:tblpXSpec="center" w:tblpY="618"/>
        <w:tblOverlap w:val="never"/>
        <w:tblW w:w="115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122"/>
        <w:gridCol w:w="989"/>
        <w:gridCol w:w="1017"/>
        <w:gridCol w:w="914"/>
        <w:gridCol w:w="914"/>
        <w:gridCol w:w="914"/>
        <w:gridCol w:w="914"/>
        <w:gridCol w:w="914"/>
        <w:gridCol w:w="914"/>
        <w:gridCol w:w="914"/>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1563" w:type="dxa"/>
            <w:gridSpan w:val="12"/>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1563"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563"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p>
        </w:tc>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1073.95</w:t>
            </w:r>
          </w:p>
        </w:tc>
        <w:tc>
          <w:tcPr>
            <w:tcW w:w="9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10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1073.95</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湟源县社会保险服务局</w:t>
            </w:r>
          </w:p>
        </w:tc>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1073.95</w:t>
            </w:r>
          </w:p>
        </w:tc>
        <w:tc>
          <w:tcPr>
            <w:tcW w:w="9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10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1073.95</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湟源县社会保险服务局（本级）</w:t>
            </w:r>
          </w:p>
        </w:tc>
        <w:tc>
          <w:tcPr>
            <w:tcW w:w="11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1073.95</w:t>
            </w:r>
          </w:p>
        </w:tc>
        <w:tc>
          <w:tcPr>
            <w:tcW w:w="9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10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1073.95</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0"/>
        <w:gridCol w:w="4259"/>
        <w:gridCol w:w="1033"/>
        <w:gridCol w:w="1033"/>
        <w:gridCol w:w="1033"/>
        <w:gridCol w:w="1033"/>
        <w:gridCol w:w="1033"/>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1559" w:type="dxa"/>
            <w:gridSpan w:val="8"/>
            <w:tcBorders>
              <w:top w:val="nil"/>
              <w:left w:val="nil"/>
              <w:bottom w:val="nil"/>
              <w:right w:val="nil"/>
            </w:tcBorders>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1559" w:type="dxa"/>
            <w:gridSpan w:val="8"/>
            <w:tcBorders>
              <w:top w:val="nil"/>
              <w:left w:val="nil"/>
              <w:bottom w:val="nil"/>
              <w:right w:val="nil"/>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59" w:type="dxa"/>
            <w:gridSpan w:val="8"/>
            <w:tcBorders>
              <w:top w:val="nil"/>
              <w:left w:val="nil"/>
              <w:bottom w:val="single" w:color="auto" w:sz="4" w:space="0"/>
              <w:right w:val="nil"/>
            </w:tcBorders>
            <w:shd w:val="clear" w:color="auto" w:fill="FFFFFF"/>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3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1073.95</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732.47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341.48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982.98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641.50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341.48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20801</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人力资源和社会保障管理事务</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592.30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552.30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2080107</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社会保险业务管理事务</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2080109</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社会保险经办机构</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567.30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552.30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88.08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88.08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43.21</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43.21</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21.61</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21.61</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20807</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就业补助</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2080705</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公益性岗位补贴</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20826</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财政对基本养老保险基金的补助</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2082602</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财政对城乡居民基本养老保险基金的补助</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295.00</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50.67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50.67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50.67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50.67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22.73</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22.73</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8.08</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19.87</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40.29</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7"/>
        <w:tblpPr w:leftFromText="180" w:rightFromText="180" w:vertAnchor="text" w:horzAnchor="page" w:tblpXSpec="center" w:tblpY="183"/>
        <w:tblOverlap w:val="never"/>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084"/>
        <w:gridCol w:w="1751"/>
        <w:gridCol w:w="1288"/>
        <w:gridCol w:w="131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5"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5" w:type="dxa"/>
            <w:gridSpan w:val="6"/>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5" w:type="dxa"/>
            <w:gridSpan w:val="6"/>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5" w:type="dxa"/>
            <w:gridSpan w:val="2"/>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88"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12"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19"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1073.95</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1073.95</w:t>
            </w:r>
          </w:p>
        </w:tc>
        <w:tc>
          <w:tcPr>
            <w:tcW w:w="1312"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1073.95</w:t>
            </w: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1073.95</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982.98</w:t>
            </w:r>
          </w:p>
        </w:tc>
        <w:tc>
          <w:tcPr>
            <w:tcW w:w="1312"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982.98</w:t>
            </w: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50.67</w:t>
            </w:r>
          </w:p>
        </w:tc>
        <w:tc>
          <w:tcPr>
            <w:tcW w:w="1312"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50.67</w:t>
            </w: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40.29</w:t>
            </w:r>
          </w:p>
        </w:tc>
        <w:tc>
          <w:tcPr>
            <w:tcW w:w="1312"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40.29</w:t>
            </w: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p>
        </w:tc>
        <w:tc>
          <w:tcPr>
            <w:tcW w:w="1288" w:type="dxa"/>
            <w:shd w:val="clear" w:color="auto" w:fill="FFFFFF"/>
            <w:vAlign w:val="center"/>
          </w:tcPr>
          <w:p>
            <w:pPr>
              <w:widowControl/>
              <w:jc w:val="center"/>
              <w:rPr>
                <w:rFonts w:ascii="宋体" w:hAnsi="宋体" w:eastAsia="宋体" w:cs="宋体"/>
                <w:kern w:val="0"/>
                <w:sz w:val="20"/>
                <w:lang w:val="en-US" w:eastAsia="zh-CN" w:bidi="ar-SA"/>
              </w:rPr>
            </w:pPr>
          </w:p>
        </w:tc>
        <w:tc>
          <w:tcPr>
            <w:tcW w:w="1312" w:type="dxa"/>
            <w:shd w:val="clear" w:color="auto" w:fill="FFFFFF"/>
            <w:vAlign w:val="center"/>
          </w:tcPr>
          <w:p>
            <w:pPr>
              <w:widowControl/>
              <w:jc w:val="center"/>
              <w:rPr>
                <w:rFonts w:ascii="宋体" w:hAnsi="宋体" w:eastAsia="宋体" w:cs="宋体"/>
                <w:kern w:val="0"/>
                <w:sz w:val="20"/>
                <w:lang w:val="en-US" w:eastAsia="zh-CN" w:bidi="ar-SA"/>
              </w:rPr>
            </w:pP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1"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1073.95</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88"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1073.95</w:t>
            </w:r>
          </w:p>
        </w:tc>
        <w:tc>
          <w:tcPr>
            <w:tcW w:w="1312"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1073.95</w:t>
            </w:r>
          </w:p>
        </w:tc>
        <w:tc>
          <w:tcPr>
            <w:tcW w:w="1319" w:type="dxa"/>
            <w:shd w:val="clear" w:color="auto" w:fill="FFFFFF"/>
            <w:vAlign w:val="center"/>
          </w:tcPr>
          <w:p>
            <w:pPr>
              <w:widowControl/>
              <w:jc w:val="center"/>
              <w:rPr>
                <w:rFonts w:ascii="宋体" w:hAnsi="宋体" w:eastAsia="宋体" w:cs="宋体"/>
                <w:kern w:val="0"/>
                <w:sz w:val="20"/>
                <w:lang w:val="en-US" w:eastAsia="zh-CN" w:bidi="ar-SA"/>
              </w:rPr>
            </w:pPr>
          </w:p>
        </w:tc>
      </w:tr>
    </w:tbl>
    <w:p>
      <w:r>
        <w:br w:type="page"/>
      </w:r>
    </w:p>
    <w:tbl>
      <w:tblPr>
        <w:tblStyle w:val="7"/>
        <w:tblpPr w:leftFromText="180" w:rightFromText="180" w:vertAnchor="text" w:horzAnchor="page" w:tblpXSpec="center" w:tblpY="-15"/>
        <w:tblOverlap w:val="never"/>
        <w:tblW w:w="10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749"/>
        <w:gridCol w:w="751"/>
        <w:gridCol w:w="3880"/>
        <w:gridCol w:w="1360"/>
        <w:gridCol w:w="136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12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2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合计</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1073.95</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732.47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982.98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641.50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人力资源和社会保障管理事务</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592.30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552.30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社会保险业务管理事务</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25.00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09</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社会保险经办机构</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567.30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552.30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88.08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88.08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43.21</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43.21</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21.61</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21.61</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23.27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23.27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就业补助</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6.48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公益性岗位补贴</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6.48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财政对基本养老保险基金的补助</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295.00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财政对城乡居民基本养老保险基金的补助</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295.00</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1.12</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1.12</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1.12</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1.12</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50.67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50.67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50.67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50.67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22.73</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22.73</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8.08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8.08</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19.87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19.87</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40.29</w:t>
            </w:r>
          </w:p>
        </w:tc>
        <w:tc>
          <w:tcPr>
            <w:tcW w:w="1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245" w:type="dxa"/>
        <w:tblInd w:w="-10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650"/>
        <w:gridCol w:w="3228"/>
        <w:gridCol w:w="2239"/>
        <w:gridCol w:w="2239"/>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28"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732.47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706.26</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668.35</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668.35</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99.60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99.60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124.94</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124.94</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76.25</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76.25</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21.61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21.61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16.16</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16.16</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19.87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19.87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40.29</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40.29</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161.30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161.30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26.20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9.54</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1.80</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37.91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37.91</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23.27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23.27</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14.64</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14.64</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39"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7"/>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1.44</w:t>
            </w:r>
          </w:p>
        </w:tc>
        <w:tc>
          <w:tcPr>
            <w:tcW w:w="965" w:type="dxa"/>
            <w:shd w:val="clear" w:color="000000" w:fill="FFFFFF"/>
            <w:vAlign w:val="center"/>
          </w:tcPr>
          <w:p>
            <w:pPr>
              <w:widowControl/>
              <w:jc w:val="center"/>
              <w:rPr>
                <w:rFonts w:hint="eastAsia" w:ascii="宋体" w:hAnsi="宋体" w:cs="宋体"/>
                <w:color w:val="000000"/>
                <w:kern w:val="0"/>
                <w:sz w:val="22"/>
                <w:szCs w:val="22"/>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vAlign w:val="center"/>
          </w:tcPr>
          <w:p>
            <w:pPr>
              <w:widowControl/>
              <w:jc w:val="center"/>
              <w:rPr>
                <w:rFonts w:hint="eastAsia" w:ascii="宋体" w:hAnsi="宋体" w:cs="宋体"/>
                <w:color w:val="000000"/>
                <w:kern w:val="0"/>
                <w:sz w:val="22"/>
                <w:szCs w:val="22"/>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0.54</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1.40</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0.90</w:t>
            </w:r>
          </w:p>
        </w:tc>
        <w:tc>
          <w:tcPr>
            <w:tcW w:w="972"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0.50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0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湟源县社会保险服务局2023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湟源县社会保险服务局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一般公共预算拨款收入1073.95万元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社会保障和就业支出982.98万元，卫生健康支出50.67万元，住房保障支出40.29万元</w:t>
      </w:r>
      <w:r>
        <w:rPr>
          <w:rFonts w:hint="eastAsia" w:ascii="仿宋_GB2312" w:eastAsia="仿宋_GB2312"/>
          <w:sz w:val="32"/>
          <w:szCs w:val="32"/>
        </w:rPr>
        <w:t>。</w:t>
      </w: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年收支总预算</w:t>
      </w:r>
      <w:r>
        <w:rPr>
          <w:rFonts w:hint="eastAsia" w:ascii="仿宋_GB2312" w:eastAsia="仿宋_GB2312"/>
          <w:sz w:val="32"/>
          <w:szCs w:val="32"/>
          <w:lang w:val="en-US" w:eastAsia="zh-CN"/>
        </w:rPr>
        <w:t>1073.95</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湟源县社会保险服务局2023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年收入预算</w:t>
      </w:r>
      <w:r>
        <w:rPr>
          <w:rFonts w:hint="eastAsia" w:ascii="仿宋_GB2312" w:eastAsia="仿宋_GB2312"/>
          <w:sz w:val="32"/>
          <w:szCs w:val="32"/>
          <w:lang w:val="en-US" w:eastAsia="zh-CN"/>
        </w:rPr>
        <w:t>1073.95</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一般公共预算拨款收入1073.95万元，占100.00%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drawing>
          <wp:inline distT="0" distB="0" distL="114300" distR="114300">
            <wp:extent cx="4140835" cy="1905000"/>
            <wp:effectExtent l="0" t="0" r="120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4140835" cy="1905000"/>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湟源县社会保险服务局2023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年支出预算</w:t>
      </w:r>
      <w:r>
        <w:rPr>
          <w:rFonts w:hint="eastAsia" w:ascii="仿宋_GB2312" w:eastAsia="仿宋_GB2312"/>
          <w:sz w:val="32"/>
          <w:szCs w:val="32"/>
          <w:lang w:val="en-US" w:eastAsia="zh-CN"/>
        </w:rPr>
        <w:t>1073.95</w:t>
      </w:r>
      <w:r>
        <w:rPr>
          <w:rFonts w:hint="eastAsia" w:ascii="仿宋_GB2312" w:eastAsia="仿宋_GB2312"/>
          <w:sz w:val="32"/>
          <w:szCs w:val="32"/>
        </w:rPr>
        <w:t>万元，其中：</w:t>
      </w:r>
      <w:r>
        <w:rPr>
          <w:rFonts w:hint="eastAsia" w:ascii="仿宋_GB2312" w:eastAsia="仿宋_GB2312"/>
          <w:sz w:val="32"/>
          <w:szCs w:val="32"/>
          <w:lang w:val="en-US" w:eastAsia="zh-CN"/>
        </w:rPr>
        <w:t>基本支出732.47万元，占68.20%；项目支出341.48万元，占31.80%</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drawing>
          <wp:inline distT="0" distB="0" distL="114300" distR="114300">
            <wp:extent cx="4171315" cy="191897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lum/>
                    </a:blip>
                    <a:stretch>
                      <a:fillRect/>
                    </a:stretch>
                  </pic:blipFill>
                  <pic:spPr>
                    <a:xfrm>
                      <a:off x="0" y="0"/>
                      <a:ext cx="4171315" cy="1918970"/>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湟源县社会保险服务局2023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1073.95</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增加137.1</w:t>
      </w:r>
      <w:r>
        <w:rPr>
          <w:rFonts w:hint="eastAsia" w:ascii="仿宋_GB2312" w:eastAsia="仿宋_GB2312"/>
          <w:sz w:val="32"/>
          <w:szCs w:val="32"/>
          <w:lang w:val="en-US" w:eastAsia="zh-CN"/>
        </w:rPr>
        <w:t>4万元，主</w:t>
      </w:r>
      <w:r>
        <w:rPr>
          <w:rFonts w:hint="eastAsia" w:ascii="仿宋_GB2312" w:eastAsia="仿宋_GB2312"/>
          <w:sz w:val="32"/>
          <w:szCs w:val="32"/>
        </w:rPr>
        <w:t>要</w:t>
      </w:r>
      <w:r>
        <w:rPr>
          <w:rFonts w:hint="eastAsia" w:ascii="仿宋_GB2312" w:eastAsia="仿宋_GB2312"/>
          <w:sz w:val="32"/>
          <w:szCs w:val="32"/>
          <w:lang w:eastAsia="zh-CN"/>
        </w:rPr>
        <w:t>是城乡居民待遇享受人数增加，</w:t>
      </w:r>
      <w:r>
        <w:rPr>
          <w:rFonts w:hint="eastAsia" w:ascii="仿宋_GB2312" w:eastAsia="仿宋_GB2312"/>
          <w:sz w:val="32"/>
          <w:szCs w:val="32"/>
          <w:lang w:val="en-US" w:eastAsia="zh-CN"/>
        </w:rPr>
        <w:t>财政对城乡居民基本养老保险基金的补助增加，人员变动基数调整，增加专项经费。</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一般公共预算拨款收入1073.95万元，上年结转0.00万元；政府性基金预算拨款收入0.00万元，上年结转0.00万元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社会保障和就业支出982.98万元， 卫生健康支出50.67万元， 住房保障支出40.29万元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drawing>
          <wp:inline distT="0" distB="0" distL="114300" distR="114300">
            <wp:extent cx="4133850" cy="190182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lum/>
                    </a:blip>
                    <a:stretch>
                      <a:fillRect/>
                    </a:stretch>
                  </pic:blipFill>
                  <pic:spPr>
                    <a:xfrm>
                      <a:off x="0" y="0"/>
                      <a:ext cx="4133850" cy="1901825"/>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湟源县社会保险服务局2023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1073.95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增加143.62</w:t>
      </w:r>
      <w:r>
        <w:rPr>
          <w:rFonts w:hint="eastAsia" w:ascii="仿宋_GB2312" w:eastAsia="仿宋_GB2312"/>
          <w:sz w:val="32"/>
          <w:szCs w:val="32"/>
        </w:rPr>
        <w:t>万元，主要是</w:t>
      </w:r>
      <w:r>
        <w:rPr>
          <w:rFonts w:hint="eastAsia" w:ascii="仿宋_GB2312" w:eastAsia="仿宋_GB2312"/>
          <w:sz w:val="32"/>
          <w:szCs w:val="32"/>
          <w:lang w:eastAsia="zh-CN"/>
        </w:rPr>
        <w:t>城乡居民待遇享受人数增加，</w:t>
      </w:r>
      <w:r>
        <w:rPr>
          <w:rFonts w:hint="eastAsia" w:ascii="仿宋_GB2312" w:eastAsia="仿宋_GB2312"/>
          <w:sz w:val="32"/>
          <w:szCs w:val="32"/>
          <w:lang w:val="en-US" w:eastAsia="zh-CN"/>
        </w:rPr>
        <w:t>财政对城乡居民基本养老保险基金的补助增加，人员变动基数调整，增加专项经费</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hAnsi="Times New Roman" w:eastAsia="仿宋_GB2312" w:cs="Times New Roman"/>
          <w:i w:val="0"/>
          <w:iCs/>
          <w:kern w:val="2"/>
          <w:sz w:val="32"/>
          <w:szCs w:val="32"/>
          <w:u w:val="none"/>
          <w:lang w:val="en-US" w:eastAsia="zh-CN" w:bidi="ar-SA"/>
        </w:rPr>
        <w:drawing>
          <wp:inline distT="0" distB="0" distL="114300" distR="114300">
            <wp:extent cx="4144010" cy="141732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lum/>
                    </a:blip>
                    <a:stretch>
                      <a:fillRect/>
                    </a:stretch>
                  </pic:blipFill>
                  <pic:spPr>
                    <a:xfrm>
                      <a:off x="0" y="0"/>
                      <a:ext cx="4144010" cy="1417320"/>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社会保障和就业支出982.98万元，占91.53%；卫生健康支出50.67万元，占4.72%；住房保障支出40.29万元，占3.75%</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drawing>
          <wp:inline distT="0" distB="0" distL="114300" distR="114300">
            <wp:extent cx="3984625" cy="1833245"/>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a:lum/>
                    </a:blip>
                    <a:stretch>
                      <a:fillRect/>
                    </a:stretch>
                  </pic:blipFill>
                  <pic:spPr>
                    <a:xfrm>
                      <a:off x="0" y="0"/>
                      <a:ext cx="3984625" cy="1833245"/>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人力资源和社会保障管理事务</w:t>
      </w:r>
      <w:r>
        <w:rPr>
          <w:rFonts w:hint="eastAsia" w:ascii="仿宋_GB2312" w:eastAsia="仿宋_GB2312"/>
          <w:sz w:val="32"/>
          <w:szCs w:val="32"/>
        </w:rPr>
        <w:t>（款）</w:t>
      </w:r>
      <w:r>
        <w:rPr>
          <w:rFonts w:hint="eastAsia" w:ascii="仿宋_GB2312" w:eastAsia="仿宋_GB2312"/>
          <w:sz w:val="32"/>
          <w:szCs w:val="32"/>
          <w:lang w:val="en-US" w:eastAsia="zh-CN"/>
        </w:rPr>
        <w:t>社会保险业务管理事务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增加18.50</w:t>
      </w:r>
      <w:r>
        <w:rPr>
          <w:rFonts w:hint="eastAsia" w:ascii="仿宋_GB2312" w:eastAsia="仿宋_GB2312"/>
          <w:sz w:val="32"/>
          <w:szCs w:val="32"/>
        </w:rPr>
        <w:t>万元，</w:t>
      </w:r>
      <w:r>
        <w:rPr>
          <w:rFonts w:hint="eastAsia" w:ascii="仿宋_GB2312" w:eastAsia="仿宋_GB2312"/>
          <w:sz w:val="32"/>
          <w:szCs w:val="32"/>
          <w:lang w:val="en-US" w:eastAsia="zh-CN"/>
        </w:rPr>
        <w:t>增长284.62</w:t>
      </w:r>
      <w:r>
        <w:rPr>
          <w:rFonts w:hint="eastAsia" w:ascii="仿宋_GB2312" w:eastAsia="仿宋_GB2312"/>
          <w:sz w:val="32"/>
          <w:szCs w:val="32"/>
        </w:rPr>
        <w:t>%。主要是</w:t>
      </w:r>
      <w:r>
        <w:rPr>
          <w:rFonts w:hint="eastAsia" w:ascii="仿宋_GB2312" w:eastAsia="仿宋_GB2312"/>
          <w:sz w:val="32"/>
          <w:szCs w:val="32"/>
          <w:lang w:eastAsia="zh-CN"/>
        </w:rPr>
        <w:t>人员变动，增加专项经费</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人力资源和社会保障管理事务</w:t>
      </w:r>
      <w:r>
        <w:rPr>
          <w:rFonts w:hint="eastAsia" w:ascii="仿宋_GB2312" w:eastAsia="仿宋_GB2312"/>
          <w:sz w:val="32"/>
          <w:szCs w:val="32"/>
        </w:rPr>
        <w:t>（款）</w:t>
      </w:r>
      <w:r>
        <w:rPr>
          <w:rFonts w:hint="eastAsia" w:ascii="仿宋_GB2312" w:eastAsia="仿宋_GB2312"/>
          <w:sz w:val="32"/>
          <w:szCs w:val="32"/>
          <w:lang w:val="en-US" w:eastAsia="zh-CN"/>
        </w:rPr>
        <w:t>社会保险经办机构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567.30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增加47.26</w:t>
      </w:r>
      <w:r>
        <w:rPr>
          <w:rFonts w:hint="eastAsia" w:ascii="仿宋_GB2312" w:eastAsia="仿宋_GB2312"/>
          <w:sz w:val="32"/>
          <w:szCs w:val="32"/>
        </w:rPr>
        <w:t>万元，</w:t>
      </w:r>
      <w:r>
        <w:rPr>
          <w:rFonts w:hint="eastAsia" w:ascii="仿宋_GB2312" w:eastAsia="仿宋_GB2312"/>
          <w:sz w:val="32"/>
          <w:szCs w:val="32"/>
          <w:lang w:val="en-US" w:eastAsia="zh-CN"/>
        </w:rPr>
        <w:t>增长9.09</w:t>
      </w:r>
      <w:r>
        <w:rPr>
          <w:rFonts w:hint="eastAsia" w:ascii="仿宋_GB2312" w:eastAsia="仿宋_GB2312"/>
          <w:sz w:val="32"/>
          <w:szCs w:val="32"/>
        </w:rPr>
        <w:t>%。主要是</w:t>
      </w:r>
      <w:r>
        <w:rPr>
          <w:rFonts w:hint="eastAsia" w:ascii="仿宋_GB2312" w:eastAsia="仿宋_GB2312"/>
          <w:sz w:val="32"/>
          <w:szCs w:val="32"/>
          <w:lang w:eastAsia="zh-CN"/>
        </w:rPr>
        <w:t>人员变动，基数比上年增加，基本支出增加。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43.21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增加8.41</w:t>
      </w:r>
      <w:r>
        <w:rPr>
          <w:rFonts w:hint="eastAsia" w:ascii="仿宋_GB2312" w:eastAsia="仿宋_GB2312"/>
          <w:sz w:val="32"/>
          <w:szCs w:val="32"/>
        </w:rPr>
        <w:t>万元，</w:t>
      </w:r>
      <w:r>
        <w:rPr>
          <w:rFonts w:hint="eastAsia" w:ascii="仿宋_GB2312" w:eastAsia="仿宋_GB2312"/>
          <w:sz w:val="32"/>
          <w:szCs w:val="32"/>
          <w:lang w:val="en-US" w:eastAsia="zh-CN"/>
        </w:rPr>
        <w:t>增长24.17</w:t>
      </w:r>
      <w:r>
        <w:rPr>
          <w:rFonts w:hint="eastAsia" w:ascii="仿宋_GB2312" w:eastAsia="仿宋_GB2312"/>
          <w:sz w:val="32"/>
          <w:szCs w:val="32"/>
        </w:rPr>
        <w:t>%。主要是</w:t>
      </w:r>
      <w:r>
        <w:rPr>
          <w:rFonts w:hint="eastAsia" w:ascii="仿宋_GB2312" w:eastAsia="仿宋_GB2312"/>
          <w:sz w:val="32"/>
          <w:szCs w:val="32"/>
          <w:lang w:val="en-US" w:eastAsia="zh-CN"/>
        </w:rPr>
        <w:t>2023年养老保险缴费基数比上年度增加。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21.61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增加4.21</w:t>
      </w:r>
      <w:r>
        <w:rPr>
          <w:rFonts w:hint="eastAsia" w:ascii="仿宋_GB2312" w:eastAsia="仿宋_GB2312"/>
          <w:sz w:val="32"/>
          <w:szCs w:val="32"/>
        </w:rPr>
        <w:t>万元，</w:t>
      </w:r>
      <w:r>
        <w:rPr>
          <w:rFonts w:hint="eastAsia" w:ascii="仿宋_GB2312" w:eastAsia="仿宋_GB2312"/>
          <w:sz w:val="32"/>
          <w:szCs w:val="32"/>
          <w:lang w:val="en-US" w:eastAsia="zh-CN"/>
        </w:rPr>
        <w:t>增长24.20</w:t>
      </w:r>
      <w:r>
        <w:rPr>
          <w:rFonts w:hint="eastAsia" w:ascii="仿宋_GB2312" w:eastAsia="仿宋_GB2312"/>
          <w:sz w:val="32"/>
          <w:szCs w:val="32"/>
        </w:rPr>
        <w:t>%。主要是</w:t>
      </w:r>
      <w:r>
        <w:rPr>
          <w:rFonts w:hint="eastAsia" w:ascii="仿宋_GB2312" w:eastAsia="仿宋_GB2312"/>
          <w:sz w:val="32"/>
          <w:szCs w:val="32"/>
          <w:lang w:val="en-US" w:eastAsia="zh-CN"/>
        </w:rPr>
        <w:t>2023年职业年金缴费基数比上年度增加。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23.27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增加0.43</w:t>
      </w:r>
      <w:r>
        <w:rPr>
          <w:rFonts w:hint="eastAsia" w:ascii="仿宋_GB2312" w:eastAsia="仿宋_GB2312"/>
          <w:sz w:val="32"/>
          <w:szCs w:val="32"/>
        </w:rPr>
        <w:t>万元，</w:t>
      </w:r>
      <w:r>
        <w:rPr>
          <w:rFonts w:hint="eastAsia" w:ascii="仿宋_GB2312" w:eastAsia="仿宋_GB2312"/>
          <w:sz w:val="32"/>
          <w:szCs w:val="32"/>
          <w:lang w:val="en-US" w:eastAsia="zh-CN"/>
        </w:rPr>
        <w:t>增长1.88</w:t>
      </w:r>
      <w:r>
        <w:rPr>
          <w:rFonts w:hint="eastAsia" w:ascii="仿宋_GB2312" w:eastAsia="仿宋_GB2312"/>
          <w:sz w:val="32"/>
          <w:szCs w:val="32"/>
        </w:rPr>
        <w:t>%。主要是</w:t>
      </w:r>
      <w:r>
        <w:rPr>
          <w:rFonts w:hint="eastAsia" w:ascii="仿宋_GB2312" w:eastAsia="仿宋_GB2312"/>
          <w:sz w:val="32"/>
          <w:szCs w:val="32"/>
          <w:lang w:eastAsia="zh-CN"/>
        </w:rPr>
        <w:t>基数调整，统筹外待遇增加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就业补助</w:t>
      </w:r>
      <w:r>
        <w:rPr>
          <w:rFonts w:hint="eastAsia" w:ascii="仿宋_GB2312" w:eastAsia="仿宋_GB2312"/>
          <w:sz w:val="32"/>
          <w:szCs w:val="32"/>
        </w:rPr>
        <w:t>（款）</w:t>
      </w:r>
      <w:r>
        <w:rPr>
          <w:rFonts w:hint="eastAsia" w:ascii="仿宋_GB2312" w:eastAsia="仿宋_GB2312"/>
          <w:sz w:val="32"/>
          <w:szCs w:val="32"/>
          <w:lang w:val="en-US" w:eastAsia="zh-CN"/>
        </w:rPr>
        <w:t>公益性岗位补贴</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6.48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增加6.48</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公益性岗位补贴2023年度增加预算。</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财政对基本养老保险基金的补助</w:t>
      </w:r>
      <w:r>
        <w:rPr>
          <w:rFonts w:hint="eastAsia" w:ascii="仿宋_GB2312" w:eastAsia="仿宋_GB2312"/>
          <w:sz w:val="32"/>
          <w:szCs w:val="32"/>
        </w:rPr>
        <w:t>（款）</w:t>
      </w:r>
      <w:r>
        <w:rPr>
          <w:rFonts w:hint="eastAsia" w:ascii="仿宋_GB2312" w:eastAsia="仿宋_GB2312"/>
          <w:sz w:val="32"/>
          <w:szCs w:val="32"/>
          <w:lang w:val="en-US" w:eastAsia="zh-CN"/>
        </w:rPr>
        <w:t>财政对城乡居民基本养老保险基金的补助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295.00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增加45.00</w:t>
      </w:r>
      <w:r>
        <w:rPr>
          <w:rFonts w:hint="eastAsia" w:ascii="仿宋_GB2312" w:eastAsia="仿宋_GB2312"/>
          <w:sz w:val="32"/>
          <w:szCs w:val="32"/>
        </w:rPr>
        <w:t>万元，</w:t>
      </w:r>
      <w:r>
        <w:rPr>
          <w:rFonts w:hint="eastAsia" w:ascii="仿宋_GB2312" w:eastAsia="仿宋_GB2312"/>
          <w:sz w:val="32"/>
          <w:szCs w:val="32"/>
          <w:lang w:val="en-US" w:eastAsia="zh-CN"/>
        </w:rPr>
        <w:t>增长18.00</w:t>
      </w:r>
      <w:r>
        <w:rPr>
          <w:rFonts w:hint="eastAsia" w:ascii="仿宋_GB2312" w:eastAsia="仿宋_GB2312"/>
          <w:sz w:val="32"/>
          <w:szCs w:val="32"/>
        </w:rPr>
        <w:t>%。主要是</w:t>
      </w:r>
      <w:r>
        <w:rPr>
          <w:rFonts w:hint="eastAsia" w:ascii="仿宋_GB2312" w:eastAsia="仿宋_GB2312"/>
          <w:sz w:val="32"/>
          <w:szCs w:val="32"/>
          <w:lang w:eastAsia="zh-CN"/>
        </w:rPr>
        <w:t>城乡居民养老保险享受待遇人数增加，财政补助增加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减少0.08</w:t>
      </w:r>
      <w:r>
        <w:rPr>
          <w:rFonts w:hint="eastAsia" w:ascii="仿宋_GB2312" w:eastAsia="仿宋_GB2312"/>
          <w:sz w:val="32"/>
          <w:szCs w:val="32"/>
        </w:rPr>
        <w:t>万元，</w:t>
      </w:r>
      <w:r>
        <w:rPr>
          <w:rFonts w:hint="eastAsia" w:ascii="仿宋_GB2312" w:eastAsia="仿宋_GB2312"/>
          <w:sz w:val="32"/>
          <w:szCs w:val="32"/>
          <w:lang w:val="en-US" w:eastAsia="zh-CN"/>
        </w:rPr>
        <w:t>下降6.67</w:t>
      </w:r>
      <w:r>
        <w:rPr>
          <w:rFonts w:hint="eastAsia" w:ascii="仿宋_GB2312" w:eastAsia="仿宋_GB2312"/>
          <w:sz w:val="32"/>
          <w:szCs w:val="32"/>
        </w:rPr>
        <w:t>%。主要是</w:t>
      </w:r>
      <w:r>
        <w:rPr>
          <w:rFonts w:hint="eastAsia" w:ascii="仿宋_GB2312" w:eastAsia="仿宋_GB2312"/>
          <w:sz w:val="32"/>
          <w:szCs w:val="32"/>
          <w:lang w:eastAsia="zh-CN"/>
        </w:rPr>
        <w:t>人员退休，人员变动</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22.73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增加6.77</w:t>
      </w:r>
      <w:r>
        <w:rPr>
          <w:rFonts w:hint="eastAsia" w:ascii="仿宋_GB2312" w:eastAsia="仿宋_GB2312"/>
          <w:sz w:val="32"/>
          <w:szCs w:val="32"/>
        </w:rPr>
        <w:t>万元，</w:t>
      </w:r>
      <w:r>
        <w:rPr>
          <w:rFonts w:hint="eastAsia" w:ascii="仿宋_GB2312" w:eastAsia="仿宋_GB2312"/>
          <w:sz w:val="32"/>
          <w:szCs w:val="32"/>
          <w:lang w:val="en-US" w:eastAsia="zh-CN"/>
        </w:rPr>
        <w:t>增长42.42</w:t>
      </w:r>
      <w:r>
        <w:rPr>
          <w:rFonts w:hint="eastAsia" w:ascii="仿宋_GB2312" w:eastAsia="仿宋_GB2312"/>
          <w:sz w:val="32"/>
          <w:szCs w:val="32"/>
        </w:rPr>
        <w:t>%。主要是</w:t>
      </w:r>
      <w:r>
        <w:rPr>
          <w:rFonts w:hint="eastAsia" w:ascii="仿宋_GB2312" w:eastAsia="仿宋_GB2312"/>
          <w:sz w:val="32"/>
          <w:szCs w:val="32"/>
          <w:lang w:val="en-US" w:eastAsia="zh-CN"/>
        </w:rPr>
        <w:t>医疗保险基数比上年度增加。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8.08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减少0.63</w:t>
      </w:r>
      <w:r>
        <w:rPr>
          <w:rFonts w:hint="eastAsia" w:ascii="仿宋_GB2312" w:eastAsia="仿宋_GB2312"/>
          <w:sz w:val="32"/>
          <w:szCs w:val="32"/>
        </w:rPr>
        <w:t>万元，</w:t>
      </w:r>
      <w:r>
        <w:rPr>
          <w:rFonts w:hint="eastAsia" w:ascii="仿宋_GB2312" w:eastAsia="仿宋_GB2312"/>
          <w:sz w:val="32"/>
          <w:szCs w:val="32"/>
          <w:lang w:val="en-US" w:eastAsia="zh-CN"/>
        </w:rPr>
        <w:t>下降7.23</w:t>
      </w:r>
      <w:r>
        <w:rPr>
          <w:rFonts w:hint="eastAsia" w:ascii="仿宋_GB2312" w:eastAsia="仿宋_GB2312"/>
          <w:sz w:val="32"/>
          <w:szCs w:val="32"/>
        </w:rPr>
        <w:t>%。主要是</w:t>
      </w:r>
      <w:r>
        <w:rPr>
          <w:rFonts w:hint="eastAsia" w:ascii="仿宋_GB2312" w:eastAsia="仿宋_GB2312"/>
          <w:sz w:val="32"/>
          <w:szCs w:val="32"/>
          <w:lang w:eastAsia="zh-CN"/>
        </w:rPr>
        <w:t>人员退休，人员变动</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19.87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减少1.26</w:t>
      </w:r>
      <w:r>
        <w:rPr>
          <w:rFonts w:hint="eastAsia" w:ascii="仿宋_GB2312" w:eastAsia="仿宋_GB2312"/>
          <w:sz w:val="32"/>
          <w:szCs w:val="32"/>
        </w:rPr>
        <w:t>万元，</w:t>
      </w:r>
      <w:r>
        <w:rPr>
          <w:rFonts w:hint="eastAsia" w:ascii="仿宋_GB2312" w:eastAsia="仿宋_GB2312"/>
          <w:sz w:val="32"/>
          <w:szCs w:val="32"/>
          <w:lang w:val="en-US" w:eastAsia="zh-CN"/>
        </w:rPr>
        <w:t>下降5.96</w:t>
      </w:r>
      <w:r>
        <w:rPr>
          <w:rFonts w:hint="eastAsia" w:ascii="仿宋_GB2312" w:eastAsia="仿宋_GB2312"/>
          <w:sz w:val="32"/>
          <w:szCs w:val="32"/>
        </w:rPr>
        <w:t>%。主要是</w:t>
      </w:r>
      <w:r>
        <w:rPr>
          <w:rFonts w:hint="eastAsia" w:ascii="仿宋_GB2312" w:eastAsia="仿宋_GB2312"/>
          <w:sz w:val="32"/>
          <w:szCs w:val="32"/>
          <w:lang w:eastAsia="zh-CN"/>
        </w:rPr>
        <w:t>人员退休，人员变动</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40.29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增加8.56</w:t>
      </w:r>
      <w:r>
        <w:rPr>
          <w:rFonts w:hint="eastAsia" w:ascii="仿宋_GB2312" w:eastAsia="仿宋_GB2312"/>
          <w:sz w:val="32"/>
          <w:szCs w:val="32"/>
        </w:rPr>
        <w:t>万元，</w:t>
      </w:r>
      <w:r>
        <w:rPr>
          <w:rFonts w:hint="eastAsia" w:ascii="仿宋_GB2312" w:eastAsia="仿宋_GB2312"/>
          <w:sz w:val="32"/>
          <w:szCs w:val="32"/>
          <w:lang w:val="en-US" w:eastAsia="zh-CN"/>
        </w:rPr>
        <w:t>增长26.98</w:t>
      </w:r>
      <w:r>
        <w:rPr>
          <w:rFonts w:hint="eastAsia" w:ascii="仿宋_GB2312" w:eastAsia="仿宋_GB2312"/>
          <w:sz w:val="32"/>
          <w:szCs w:val="32"/>
        </w:rPr>
        <w:t>%。主要是</w:t>
      </w:r>
      <w:r>
        <w:rPr>
          <w:rFonts w:hint="eastAsia" w:ascii="仿宋_GB2312" w:eastAsia="仿宋_GB2312"/>
          <w:sz w:val="32"/>
          <w:szCs w:val="32"/>
          <w:lang w:eastAsia="zh-CN"/>
        </w:rPr>
        <w:t>人员变动，住房公积金基数比上年度增加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湟源县社会保险服务局2023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732.47</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706.26</w:t>
      </w:r>
      <w:r>
        <w:rPr>
          <w:rFonts w:hint="eastAsia" w:ascii="仿宋_GB2312" w:eastAsia="仿宋_GB2312"/>
          <w:sz w:val="32"/>
          <w:szCs w:val="32"/>
        </w:rPr>
        <w:t>万元，主要包括：</w:t>
      </w:r>
      <w:r>
        <w:rPr>
          <w:rFonts w:hint="eastAsia" w:ascii="仿宋_GB2312" w:eastAsia="仿宋_GB2312"/>
          <w:sz w:val="32"/>
          <w:szCs w:val="32"/>
          <w:lang w:val="en-US" w:eastAsia="zh-CN"/>
        </w:rPr>
        <w:t>基本工资99.60万元、津贴补贴124.94万元、奖金64.01万元、绩效工资76.25万元、机关事业单位基本养老保险缴费43.21万元、职业年金缴费21.61万元、职工基本医疗保险缴费16.16万元、公务员医疗补助缴费19.87万元、其他社会保障缴费1.12万元、住房公积金40.29万元、其他工资福利支出161.30万元、退休费23.27万元、医疗费补助14.64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26.20</w:t>
      </w:r>
      <w:r>
        <w:rPr>
          <w:rFonts w:hint="eastAsia" w:ascii="仿宋_GB2312" w:eastAsia="仿宋_GB2312"/>
          <w:sz w:val="32"/>
          <w:szCs w:val="32"/>
        </w:rPr>
        <w:t>万元，主要包括：</w:t>
      </w:r>
      <w:r>
        <w:rPr>
          <w:rFonts w:hint="eastAsia" w:ascii="仿宋_GB2312" w:eastAsia="仿宋_GB2312"/>
          <w:sz w:val="32"/>
          <w:szCs w:val="32"/>
          <w:lang w:val="en-US" w:eastAsia="zh-CN"/>
        </w:rPr>
        <w:t>办公费2.00万元、水费0.50万元、电费0.50万元、邮电费1.50万元、取暖费2.50万元、差旅费1.50万元、公务接待费0.50万元、工会经费4.97万元、公务用车运行维护费0.90万元、其他交通费用9.54万元、其他商品和服务支出1.80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湟源县社会保险服务局2023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减少0.04</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0.90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0.50</w:t>
      </w:r>
      <w:r>
        <w:rPr>
          <w:rFonts w:hint="eastAsia" w:ascii="仿宋_GB2312" w:eastAsia="仿宋_GB2312"/>
          <w:sz w:val="32"/>
          <w:szCs w:val="32"/>
        </w:rPr>
        <w:t>万元，</w:t>
      </w:r>
      <w:r>
        <w:rPr>
          <w:rFonts w:hint="eastAsia" w:ascii="仿宋_GB2312" w:eastAsia="仿宋_GB2312"/>
          <w:sz w:val="32"/>
          <w:szCs w:val="32"/>
          <w:lang w:val="en-US" w:eastAsia="zh-CN"/>
        </w:rPr>
        <w:t>减少0.04</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人员变动，</w:t>
      </w:r>
      <w:r>
        <w:rPr>
          <w:rFonts w:hint="eastAsia" w:ascii="仿宋_GB2312" w:eastAsia="仿宋_GB2312"/>
          <w:i w:val="0"/>
          <w:iCs w:val="0"/>
          <w:sz w:val="32"/>
          <w:szCs w:val="32"/>
          <w:highlight w:val="none"/>
          <w:u w:val="none"/>
          <w:lang w:val="en-US" w:eastAsia="zh-CN"/>
        </w:rPr>
        <w:t>严格落实三公经费政策，</w:t>
      </w:r>
      <w:r>
        <w:rPr>
          <w:rFonts w:hint="eastAsia" w:ascii="仿宋_GB2312" w:eastAsia="仿宋_GB2312"/>
          <w:i w:val="0"/>
          <w:iCs w:val="0"/>
          <w:sz w:val="32"/>
          <w:szCs w:val="32"/>
          <w:highlight w:val="none"/>
          <w:u w:val="none"/>
          <w:lang w:eastAsia="zh-CN"/>
        </w:rPr>
        <w:t>厉行节约</w:t>
      </w:r>
      <w:r>
        <w:rPr>
          <w:rFonts w:hint="eastAsia" w:ascii="仿宋_GB2312" w:eastAsia="仿宋_GB2312"/>
          <w:i w:val="0"/>
          <w:iCs w:val="0"/>
          <w:sz w:val="32"/>
          <w:szCs w:val="32"/>
          <w:highlight w:val="none"/>
          <w:u w:val="none"/>
          <w:lang w:val="en-US" w:eastAsia="zh-CN"/>
        </w:rPr>
        <w:t>减少三公经费支出</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湟源县社会保险服务局2023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湟源县社会保险服务局2023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湟源县社会保险服务局</w:t>
      </w:r>
      <w:r>
        <w:rPr>
          <w:rFonts w:hint="eastAsia" w:ascii="仿宋_GB2312" w:hAnsi="仿宋" w:eastAsia="仿宋_GB2312"/>
          <w:spacing w:val="-6"/>
          <w:kern w:val="2"/>
          <w:sz w:val="32"/>
          <w:szCs w:val="32"/>
          <w:lang w:val="en-US"/>
        </w:rPr>
        <w:t>机关运行经费财政拨款预算26.20万元，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预算减少1.73万元，下降6.19%。主要是</w:t>
      </w:r>
      <w:r>
        <w:rPr>
          <w:rFonts w:hint="eastAsia" w:ascii="仿宋_GB2312" w:hAnsi="仿宋" w:eastAsia="仿宋_GB2312"/>
          <w:spacing w:val="-6"/>
          <w:kern w:val="2"/>
          <w:sz w:val="32"/>
          <w:szCs w:val="32"/>
          <w:lang w:val="en-US" w:eastAsia="zh-CN"/>
        </w:rPr>
        <w:t>人员变动，经费支出减少。</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湟源县社会保险服务局各单位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湟源县社会保险服务局所属各预算单位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湟源县社会保险服务局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341.48</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p>
      <w:pPr>
        <w:widowControl/>
        <w:jc w:val="center"/>
        <w:textAlignment w:val="center"/>
        <w:rPr>
          <w:rFonts w:hint="eastAsia" w:ascii="黑体" w:hAnsi="宋体" w:eastAsia="黑体" w:cs="黑体"/>
          <w:b/>
          <w:bCs/>
          <w:i w:val="0"/>
          <w:iCs w:val="0"/>
          <w:color w:val="000000"/>
          <w:kern w:val="0"/>
          <w:sz w:val="32"/>
          <w:szCs w:val="32"/>
          <w:u w:val="none"/>
          <w:lang w:val="en-US" w:eastAsia="zh-CN"/>
        </w:rPr>
      </w:pPr>
      <w:r>
        <w:rPr>
          <w:rFonts w:hint="eastAsia" w:ascii="黑体" w:hAnsi="宋体" w:eastAsia="黑体" w:cs="黑体"/>
          <w:b/>
          <w:bCs/>
          <w:i w:val="0"/>
          <w:iCs w:val="0"/>
          <w:color w:val="000000"/>
          <w:kern w:val="0"/>
          <w:sz w:val="32"/>
          <w:szCs w:val="32"/>
          <w:u w:val="none"/>
          <w:lang w:val="en-US" w:eastAsia="zh-CN"/>
        </w:rPr>
        <w:br w:type="page"/>
      </w:r>
    </w:p>
    <w:tbl>
      <w:tblPr>
        <w:tblStyle w:val="7"/>
        <w:tblW w:w="10289"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1"/>
        <w:gridCol w:w="1000"/>
        <w:gridCol w:w="1458"/>
        <w:gridCol w:w="776"/>
        <w:gridCol w:w="788"/>
        <w:gridCol w:w="2034"/>
        <w:gridCol w:w="933"/>
        <w:gridCol w:w="1011"/>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89" w:type="dxa"/>
            <w:gridSpan w:val="9"/>
            <w:tcBorders>
              <w:top w:val="nil"/>
              <w:left w:val="nil"/>
              <w:bottom w:val="nil"/>
              <w:right w:val="nil"/>
            </w:tcBorders>
            <w:vAlign w:val="center"/>
          </w:tcPr>
          <w:p>
            <w:pPr>
              <w:widowControl/>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69" w:type="dxa"/>
            <w:gridSpan w:val="3"/>
            <w:tcBorders>
              <w:top w:val="nil"/>
              <w:left w:val="nil"/>
              <w:bottom w:val="nil"/>
              <w:right w:val="nil"/>
            </w:tcBorders>
            <w:vAlign w:val="center"/>
          </w:tcPr>
          <w:p>
            <w:pPr>
              <w:widowControl/>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预算年度：2023</w:t>
            </w:r>
          </w:p>
        </w:tc>
        <w:tc>
          <w:tcPr>
            <w:tcW w:w="77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8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2034"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vAlign w:val="center"/>
          </w:tcPr>
          <w:p>
            <w:pPr>
              <w:jc w:val="center"/>
              <w:rPr>
                <w:rFonts w:hint="eastAsia" w:ascii="宋体" w:hAnsi="宋体" w:eastAsia="宋体" w:cs="宋体"/>
                <w:i w:val="0"/>
                <w:iCs w:val="0"/>
                <w:color w:val="000000"/>
                <w:sz w:val="18"/>
                <w:szCs w:val="18"/>
                <w:u w:val="none"/>
              </w:rPr>
            </w:pPr>
          </w:p>
        </w:tc>
        <w:tc>
          <w:tcPr>
            <w:tcW w:w="1989" w:type="dxa"/>
            <w:gridSpan w:val="2"/>
            <w:tcBorders>
              <w:top w:val="nil"/>
              <w:left w:val="nil"/>
              <w:bottom w:val="nil"/>
              <w:right w:val="nil"/>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项目名称</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批复数</w:t>
            </w:r>
          </w:p>
        </w:tc>
        <w:tc>
          <w:tcPr>
            <w:tcW w:w="14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绩效目标</w:t>
            </w:r>
          </w:p>
        </w:tc>
        <w:tc>
          <w:tcPr>
            <w:tcW w:w="35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绩效指标性质</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绩效指标值</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二级指标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城乡居民养老保险公益性岗位奖励</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6.48</w:t>
            </w:r>
          </w:p>
        </w:tc>
        <w:tc>
          <w:tcPr>
            <w:tcW w:w="14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城乡居民养老保险公益性岗位奖励</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质量指标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确保公益性岗位专职人员熟练掌握业务办理</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熟练掌握</w:t>
            </w:r>
          </w:p>
        </w:tc>
        <w:tc>
          <w:tcPr>
            <w:tcW w:w="9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时效指标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确保所有缴费人员顺利办理业务</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可持续影响指标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城乡居民养老、医疗保险制度长期可持续</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长期</w:t>
            </w:r>
          </w:p>
        </w:tc>
        <w:tc>
          <w:tcPr>
            <w:tcW w:w="9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服务对象满意度指标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缴费人员满意率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城乡居民养老保险县级配套</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295.00</w:t>
            </w:r>
          </w:p>
        </w:tc>
        <w:tc>
          <w:tcPr>
            <w:tcW w:w="14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　社会保障体系不断健全，更多的人享受社保权利，养老保险待遇不断提高，民生逐步得到改善，促进社会公平，提升公众信心，为经济社会发展提供资金支持。</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数量指标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城乡居民参保人数</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70000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时效指标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资金发放及时率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社会效益指标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参保人员生活水平</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定性</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高中低</w:t>
            </w:r>
          </w:p>
        </w:tc>
        <w:tc>
          <w:tcPr>
            <w:tcW w:w="9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服务对象满意度指标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参保人员满意度</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专项经费</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25.00</w:t>
            </w:r>
          </w:p>
        </w:tc>
        <w:tc>
          <w:tcPr>
            <w:tcW w:w="14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　为加快社会保障体系建设，健全统筹城乡的社会保障制度，积极构建和谐劳动关系，提升社会保障工作信息化水平，建立社会保障专项工作经费，用于机关养老保险、城乡居民基本养老保险、企业职工养老保险、失业保险、工伤保险服务工作。做到专款专用。</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数量指标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社保经办业务科室</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质量指标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社会保险基金征缴</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时效指标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社会保险待遇足额发放率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社会效益指标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基本养老保险参保率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满意度指标</w:t>
            </w: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服务对象满意度指标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社会保险参保人满意度</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享受待遇人员满意度</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村级协办员工作补助</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rPr>
              <w:t>15.00</w:t>
            </w:r>
          </w:p>
        </w:tc>
        <w:tc>
          <w:tcPr>
            <w:tcW w:w="14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　不断完善基层社保队伍建设，为群众提供公平高效的服务，通过村级协办员等工作的开展，全面推进统筹城乡就业创业工作良性发展，全面提升城乡居民养老保险管理信息化水平，确保各项业务的顺利开展，完成上级交办的各项工作任务。</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数量指标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村级协办员补贴发放人数</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146</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质量指标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村级协办员补贴资金发放率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时效指标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村级协办员补贴发放及时率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经济效益指标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提高工作效率</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满意度指标</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服务对象满意度指标</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17"/>
                <w:lang w:val="en-US" w:eastAsia="zh-CN"/>
              </w:rPr>
              <w:t>享受补贴村干部满意度</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bl>
    <w:p>
      <w:pPr>
        <w:jc w:val="both"/>
        <w:rPr>
          <w:rFonts w:ascii="仿宋_GB2312" w:eastAsia="仿宋_GB2312"/>
          <w:b/>
          <w:sz w:val="32"/>
          <w:szCs w:val="32"/>
        </w:rPr>
      </w:pPr>
    </w:p>
    <w:p>
      <w:pPr>
        <w:jc w:val="center"/>
        <w:rPr>
          <w:rFonts w:hint="eastAsia"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（一）</w:t>
      </w:r>
      <w:r>
        <w:rPr>
          <w:rFonts w:hint="eastAsia" w:ascii="仿宋_GB2312" w:hAnsi="Times New Roman" w:eastAsia="仿宋_GB2312" w:cs="Times New Roman"/>
          <w:b/>
          <w:bCs/>
          <w:sz w:val="32"/>
          <w:szCs w:val="32"/>
          <w:lang w:val="en-US" w:eastAsia="zh-CN"/>
        </w:rPr>
        <w:t>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人力资源和社会保障管理事务</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社会保险业务管理事务</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反映社会保险业务管理和基金监督方面的支出。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bCs w:val="0"/>
          <w:spacing w:val="-6"/>
          <w:sz w:val="32"/>
          <w:szCs w:val="32"/>
        </w:rPr>
        <w:t>（</w:t>
      </w:r>
      <w:r>
        <w:rPr>
          <w:rFonts w:hint="eastAsia" w:ascii="仿宋_GB2312" w:hAnsi="仿宋" w:eastAsia="仿宋_GB2312" w:cs="Times New Roman"/>
          <w:b/>
          <w:bCs w:val="0"/>
          <w:spacing w:val="-6"/>
          <w:sz w:val="32"/>
          <w:szCs w:val="32"/>
          <w:lang w:val="en-US" w:eastAsia="zh-CN"/>
        </w:rPr>
        <w:t>二</w:t>
      </w:r>
      <w:r>
        <w:rPr>
          <w:rFonts w:hint="eastAsia" w:ascii="仿宋_GB2312" w:hAnsi="仿宋" w:eastAsia="仿宋_GB2312" w:cs="Times New Roman"/>
          <w:b/>
          <w:bCs w:val="0"/>
          <w:spacing w:val="-6"/>
          <w:sz w:val="32"/>
          <w:szCs w:val="32"/>
        </w:rPr>
        <w:t>）</w:t>
      </w:r>
      <w:r>
        <w:rPr>
          <w:rFonts w:hint="eastAsia" w:ascii="仿宋_GB2312" w:hAnsi="Times New Roman" w:eastAsia="仿宋_GB2312" w:cs="Times New Roman"/>
          <w:b/>
          <w:bCs w:val="0"/>
          <w:sz w:val="32"/>
          <w:szCs w:val="32"/>
          <w:lang w:val="en-US" w:eastAsia="zh-CN"/>
        </w:rPr>
        <w:t>社会保障和就业支出</w:t>
      </w:r>
      <w:r>
        <w:rPr>
          <w:rFonts w:hint="eastAsia" w:ascii="仿宋_GB2312" w:hAnsi="Times New Roman" w:eastAsia="仿宋_GB2312" w:cs="Times New Roman"/>
          <w:b/>
          <w:bCs w:val="0"/>
          <w:sz w:val="32"/>
          <w:szCs w:val="32"/>
        </w:rPr>
        <w:t>（类）</w:t>
      </w:r>
      <w:r>
        <w:rPr>
          <w:rFonts w:hint="eastAsia" w:ascii="仿宋_GB2312" w:hAnsi="Times New Roman" w:eastAsia="仿宋_GB2312" w:cs="Times New Roman"/>
          <w:b/>
          <w:bCs w:val="0"/>
          <w:sz w:val="32"/>
          <w:szCs w:val="32"/>
          <w:lang w:val="en-US" w:eastAsia="zh-CN"/>
        </w:rPr>
        <w:t>人力资源和社会保障管理事务</w:t>
      </w:r>
      <w:r>
        <w:rPr>
          <w:rFonts w:hint="eastAsia" w:ascii="仿宋_GB2312" w:hAnsi="Times New Roman" w:eastAsia="仿宋_GB2312" w:cs="Times New Roman"/>
          <w:b/>
          <w:bCs w:val="0"/>
          <w:sz w:val="32"/>
          <w:szCs w:val="32"/>
        </w:rPr>
        <w:t>（款）</w:t>
      </w:r>
      <w:r>
        <w:rPr>
          <w:rFonts w:hint="eastAsia" w:ascii="仿宋_GB2312" w:hAnsi="Times New Roman" w:eastAsia="仿宋_GB2312" w:cs="Times New Roman"/>
          <w:b/>
          <w:bCs w:val="0"/>
          <w:sz w:val="32"/>
          <w:szCs w:val="32"/>
          <w:lang w:val="en-US" w:eastAsia="zh-CN"/>
        </w:rPr>
        <w:t>社会保险经办机构</w:t>
      </w:r>
      <w:r>
        <w:rPr>
          <w:rFonts w:hint="eastAsia" w:ascii="仿宋_GB2312" w:hAnsi="Times New Roman" w:eastAsia="仿宋_GB2312" w:cs="Times New Roman"/>
          <w:b/>
          <w:bCs w:val="0"/>
          <w:sz w:val="32"/>
          <w:szCs w:val="32"/>
        </w:rPr>
        <w:t>（项）</w:t>
      </w:r>
      <w:r>
        <w:rPr>
          <w:rFonts w:hint="eastAsia" w:ascii="仿宋_GB2312" w:hAnsi="Times New Roman" w:eastAsia="仿宋_GB2312" w:cs="Times New Roman"/>
          <w:b/>
          <w:bCs w:val="0"/>
          <w:sz w:val="32"/>
          <w:szCs w:val="32"/>
          <w:lang w:eastAsia="zh-CN"/>
        </w:rPr>
        <w:t>：</w:t>
      </w:r>
      <w:r>
        <w:rPr>
          <w:rFonts w:hint="eastAsia" w:ascii="仿宋_GB2312" w:hAnsi="Times New Roman" w:eastAsia="仿宋_GB2312" w:cs="Times New Roman"/>
          <w:b w:val="0"/>
          <w:bCs w:val="0"/>
          <w:sz w:val="32"/>
          <w:szCs w:val="32"/>
          <w:lang w:val="en-US" w:eastAsia="zh-CN"/>
        </w:rPr>
        <w:t>反映社会保险经办机构开展业务工作的支出。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三</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机关事业单位基本养老保险缴费支出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eastAsia="zh-CN"/>
        </w:rPr>
        <w:t>反映机关事业单位实施养老保险制度由单位缴纳的基本养老保险费支出。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四</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机关事业单位职业年金缴费支出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eastAsia="zh-CN"/>
        </w:rPr>
        <w:t>反映机关事业单位实施养老保险制度由单位实际缴纳的职业年金支出。</w:t>
      </w:r>
    </w:p>
    <w:p>
      <w:pPr>
        <w:ind w:firstLine="643" w:firstLineChars="20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五</w:t>
      </w:r>
      <w:r>
        <w:rPr>
          <w:rFonts w:hint="eastAsia" w:ascii="仿宋_GB2312" w:hAnsi="Times New Roman" w:eastAsia="仿宋_GB2312" w:cs="Times New Roman"/>
          <w:b/>
          <w:bCs/>
          <w:sz w:val="32"/>
          <w:szCs w:val="32"/>
          <w:lang w:eastAsia="zh-CN"/>
        </w:rPr>
        <w:t>）社会保障和就业支出（类）行政事业单位养老支出（款）其他行政事业单位养老支出（项）：</w:t>
      </w:r>
      <w:r>
        <w:rPr>
          <w:rFonts w:hint="eastAsia" w:ascii="仿宋_GB2312" w:hAnsi="Times New Roman" w:eastAsia="仿宋_GB2312" w:cs="Times New Roman"/>
          <w:b w:val="0"/>
          <w:bCs w:val="0"/>
          <w:sz w:val="32"/>
          <w:szCs w:val="32"/>
          <w:lang w:val="en-US" w:eastAsia="zh-CN"/>
        </w:rPr>
        <w:t>反映</w:t>
      </w:r>
      <w:r>
        <w:rPr>
          <w:rFonts w:hint="eastAsia" w:ascii="仿宋_GB2312" w:hAnsi="Times New Roman" w:eastAsia="仿宋_GB2312" w:cs="Times New Roman"/>
          <w:b w:val="0"/>
          <w:bCs w:val="0"/>
          <w:sz w:val="32"/>
          <w:szCs w:val="32"/>
          <w:lang w:eastAsia="zh-CN"/>
        </w:rPr>
        <w:t>除上述项目以外其他用于行政事业单位养老方面的支出。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bCs w:val="0"/>
          <w:spacing w:val="-6"/>
          <w:sz w:val="32"/>
          <w:szCs w:val="32"/>
        </w:rPr>
        <w:t>（</w:t>
      </w:r>
      <w:r>
        <w:rPr>
          <w:rFonts w:hint="eastAsia" w:ascii="仿宋_GB2312" w:hAnsi="仿宋" w:eastAsia="仿宋_GB2312" w:cs="Times New Roman"/>
          <w:b/>
          <w:bCs w:val="0"/>
          <w:spacing w:val="-6"/>
          <w:sz w:val="32"/>
          <w:szCs w:val="32"/>
          <w:lang w:val="en-US" w:eastAsia="zh-CN"/>
        </w:rPr>
        <w:t>六</w:t>
      </w:r>
      <w:r>
        <w:rPr>
          <w:rFonts w:hint="eastAsia" w:ascii="仿宋_GB2312" w:hAnsi="仿宋" w:eastAsia="仿宋_GB2312" w:cs="Times New Roman"/>
          <w:b/>
          <w:bCs w:val="0"/>
          <w:spacing w:val="-6"/>
          <w:sz w:val="32"/>
          <w:szCs w:val="32"/>
        </w:rPr>
        <w:t>）</w:t>
      </w:r>
      <w:r>
        <w:rPr>
          <w:rFonts w:hint="eastAsia" w:ascii="仿宋_GB2312" w:hAnsi="Times New Roman" w:eastAsia="仿宋_GB2312" w:cs="Times New Roman"/>
          <w:b/>
          <w:bCs/>
          <w:sz w:val="32"/>
          <w:szCs w:val="32"/>
          <w:lang w:val="en-US" w:eastAsia="zh-CN"/>
        </w:rPr>
        <w:t>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就业补助</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公益性岗位补贴</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反映财政对符合条件的就业困难人员在公益性岗位就业给予的岗位补贴支出。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七</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财政对基本养老保险基金的补助</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财政对城乡居民基本养老保险基金的补助</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反映财政对城乡居民基本养老保险基金的补助支出。</w:t>
      </w:r>
    </w:p>
    <w:p>
      <w:pPr>
        <w:ind w:firstLine="643" w:firstLineChars="20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八</w:t>
      </w:r>
      <w:r>
        <w:rPr>
          <w:rFonts w:hint="eastAsia" w:ascii="仿宋_GB2312" w:hAnsi="Times New Roman" w:eastAsia="仿宋_GB2312" w:cs="Times New Roman"/>
          <w:b/>
          <w:bCs/>
          <w:sz w:val="32"/>
          <w:szCs w:val="32"/>
          <w:lang w:eastAsia="zh-CN"/>
        </w:rPr>
        <w:t>）社会保障和就业支出（类）其他社会保障和就业支出（款）其他社会保障和就业支出（项）：</w:t>
      </w:r>
      <w:r>
        <w:rPr>
          <w:rFonts w:hint="eastAsia" w:ascii="仿宋_GB2312" w:hAnsi="Times New Roman" w:eastAsia="仿宋_GB2312" w:cs="Times New Roman"/>
          <w:b w:val="0"/>
          <w:bCs w:val="0"/>
          <w:sz w:val="32"/>
          <w:szCs w:val="32"/>
          <w:lang w:eastAsia="zh-CN"/>
        </w:rPr>
        <w:t>反映除上述项目以外其他用于社会保障和就业方面的支出。</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九</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行政单位医疗</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十</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事业单位医疗</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eastAsia="zh-CN"/>
        </w:rPr>
        <w:t>反映财政部门安排的事业单位基本医疗保险缴费经费，未参加医疗保险的事业单位的公费医疗经费，按国家规定享受离休人员待遇的医疗经费。</w:t>
      </w:r>
    </w:p>
    <w:p>
      <w:pPr>
        <w:ind w:firstLine="645"/>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十一</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公务员医疗补助</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eastAsia="zh-CN"/>
        </w:rPr>
        <w:t>反映财政部门安排的公务员医疗补助经费。</w:t>
      </w:r>
    </w:p>
    <w:p>
      <w:pPr>
        <w:ind w:firstLine="645"/>
        <w:rPr>
          <w:rFonts w:hint="eastAsia" w:ascii="仿宋_GB2312" w:hAnsi="Times New Roman" w:eastAsia="仿宋_GB2312" w:cs="Times New Roman"/>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十二</w:t>
      </w:r>
      <w:r>
        <w:rPr>
          <w:rFonts w:hint="eastAsia" w:ascii="仿宋_GB2312" w:hAnsi="仿宋" w:eastAsia="仿宋_GB2312" w:cs="Times New Roman"/>
          <w:b/>
          <w:spacing w:val="-6"/>
          <w:sz w:val="32"/>
          <w:szCs w:val="32"/>
        </w:rPr>
        <w:t>）</w:t>
      </w:r>
      <w:r>
        <w:rPr>
          <w:rFonts w:hint="eastAsia" w:ascii="仿宋_GB2312" w:hAnsi="Times New Roman" w:eastAsia="仿宋_GB2312" w:cs="Times New Roman"/>
          <w:b/>
          <w:bCs/>
          <w:sz w:val="32"/>
          <w:szCs w:val="32"/>
          <w:lang w:val="en-US" w:eastAsia="zh-CN"/>
        </w:rPr>
        <w:t>住房保障支出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住房改革支出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住房公积金</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val="0"/>
          <w:bCs w:val="0"/>
          <w:sz w:val="32"/>
          <w:szCs w:val="32"/>
          <w:lang w:val="en-US" w:eastAsia="zh-CN"/>
        </w:rPr>
        <w:t>反映</w:t>
      </w:r>
      <w:r>
        <w:rPr>
          <w:rFonts w:hint="eastAsia" w:ascii="仿宋_GB2312" w:hAnsi="Times New Roman" w:eastAsia="仿宋_GB2312" w:cs="Times New Roman"/>
          <w:b w:val="0"/>
          <w:bCs w:val="0"/>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bookmarkStart w:id="6" w:name="_GoBack"/>
      <w:bookmarkEnd w:id="6"/>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DcxZWQwMDZhNTQyNWI2NDBlZjQ4NmEyMGY4YWIifQ=="/>
  </w:docVars>
  <w:rsids>
    <w:rsidRoot w:val="00000000"/>
    <w:rsid w:val="1A8F1AAE"/>
    <w:rsid w:val="3B3D3FAB"/>
    <w:rsid w:val="53C11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List Paragraph"/>
    <w:basedOn w:val="1"/>
    <w:qFormat/>
    <w:uiPriority w:val="34"/>
    <w:pPr>
      <w:ind w:firstLine="420" w:firstLineChars="200"/>
    </w:pPr>
  </w:style>
  <w:style w:type="paragraph" w:customStyle="1" w:styleId="11">
    <w:name w:val="No Spacing"/>
    <w:link w:val="16"/>
    <w:qFormat/>
    <w:uiPriority w:val="0"/>
    <w:rPr>
      <w:rFonts w:ascii="Calibri" w:hAnsi="Calibri" w:eastAsia="宋体" w:cs="Times New Roman"/>
      <w:sz w:val="22"/>
      <w:szCs w:val="22"/>
      <w:lang w:val="en-US" w:eastAsia="zh-CN" w:bidi="ar-SA"/>
    </w:rPr>
  </w:style>
  <w:style w:type="paragraph" w:customStyle="1" w:styleId="12">
    <w:name w:val="正文1"/>
    <w:basedOn w:val="1"/>
    <w:qFormat/>
    <w:uiPriority w:val="0"/>
    <w:pPr>
      <w:widowControl/>
    </w:pPr>
    <w:rPr>
      <w:rFonts w:eastAsia="Times New Roman"/>
      <w:kern w:val="0"/>
      <w:lang w:val="zh-CN"/>
    </w:rPr>
  </w:style>
  <w:style w:type="character" w:customStyle="1" w:styleId="13">
    <w:name w:val="批注框文本 Char"/>
    <w:link w:val="4"/>
    <w:semiHidden/>
    <w:qFormat/>
    <w:uiPriority w:val="99"/>
    <w:rPr>
      <w:rFonts w:ascii="Times New Roman" w:hAnsi="Times New Roman"/>
      <w:kern w:val="2"/>
      <w:sz w:val="18"/>
      <w:szCs w:val="18"/>
    </w:rPr>
  </w:style>
  <w:style w:type="character" w:customStyle="1" w:styleId="14">
    <w:name w:val="页脚 Char"/>
    <w:link w:val="5"/>
    <w:qFormat/>
    <w:uiPriority w:val="99"/>
    <w:rPr>
      <w:rFonts w:ascii="Times New Roman" w:hAnsi="Times New Roman"/>
      <w:kern w:val="2"/>
      <w:sz w:val="18"/>
      <w:szCs w:val="18"/>
    </w:rPr>
  </w:style>
  <w:style w:type="character" w:customStyle="1" w:styleId="15">
    <w:name w:val="页眉 Char"/>
    <w:link w:val="6"/>
    <w:qFormat/>
    <w:uiPriority w:val="99"/>
    <w:rPr>
      <w:rFonts w:ascii="Times New Roman" w:hAnsi="Times New Roman"/>
      <w:kern w:val="2"/>
      <w:sz w:val="18"/>
      <w:szCs w:val="18"/>
    </w:rPr>
  </w:style>
  <w:style w:type="character" w:customStyle="1" w:styleId="16">
    <w:name w:val="无间隔 Char"/>
    <w:link w:val="11"/>
    <w:qFormat/>
    <w:uiPriority w:val="0"/>
    <w:rPr>
      <w:sz w:val="22"/>
      <w:szCs w:val="22"/>
      <w:lang w:bidi="ar-SA"/>
    </w:rPr>
  </w:style>
  <w:style w:type="character" w:customStyle="1" w:styleId="17">
    <w:name w:val="font7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7728</Words>
  <Characters>9293</Characters>
  <Lines>43</Lines>
  <Paragraphs>12</Paragraphs>
  <TotalTime>7</TotalTime>
  <ScaleCrop>false</ScaleCrop>
  <LinksUpToDate>false</LinksUpToDate>
  <CharactersWithSpaces>9405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梓嶽子</cp:lastModifiedBy>
  <cp:lastPrinted>2021-01-31T19:43:00Z</cp:lastPrinted>
  <dcterms:modified xsi:type="dcterms:W3CDTF">2023-06-07T01:06:24Z</dcterms:modified>
  <dc:title>×××部门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19B80862D1B94F0C9EB1D4364C2FB27F_13</vt:lpwstr>
  </property>
</Properties>
</file>