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tcPr>
          <w:p>
            <w:pPr>
              <w:pStyle w:val="13"/>
              <w:rPr>
                <w:rFonts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vAlign w:val="center"/>
          </w:tcPr>
          <w:p>
            <w:pPr>
              <w:pStyle w:val="13"/>
              <w:jc w:val="center"/>
              <w:rPr>
                <w:rFonts w:ascii="Cambria" w:hAnsi="Cambria"/>
                <w:b/>
                <w:sz w:val="80"/>
                <w:szCs w:val="80"/>
              </w:rPr>
            </w:pPr>
            <w:r>
              <w:rPr>
                <w:rFonts w:hint="eastAsia" w:ascii="Cambria" w:hAnsi="Cambria"/>
                <w:b/>
                <w:sz w:val="80"/>
                <w:szCs w:val="80"/>
              </w:rPr>
              <w:t>湟源县水利站</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vAlign w:val="center"/>
          </w:tcPr>
          <w:p>
            <w:pPr>
              <w:pStyle w:val="13"/>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vAlign w:val="center"/>
          </w:tcPr>
          <w:p>
            <w:pPr>
              <w:pStyle w:val="13"/>
              <w:jc w:val="center"/>
            </w:pPr>
          </w:p>
        </w:tc>
      </w:tr>
    </w:tbl>
    <w:p/>
    <w:tbl>
      <w:tblPr>
        <w:tblStyle w:val="6"/>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tcPr>
          <w:p>
            <w:pPr>
              <w:pStyle w:val="13"/>
            </w:pPr>
          </w:p>
        </w:tc>
      </w:tr>
    </w:tbl>
    <w:p>
      <w:pPr>
        <w:jc w:val="center"/>
        <w:rPr>
          <w:rFonts w:ascii="华文琥珀" w:hAnsi="楷体" w:eastAsia="华文琥珀"/>
          <w:sz w:val="84"/>
          <w:szCs w:val="84"/>
        </w:rPr>
      </w:pPr>
      <w:r>
        <w:rPr>
          <w:rFonts w:hint="eastAsia" w:ascii="华文琥珀" w:hAnsi="楷体" w:eastAsia="华文琥珀"/>
          <w:sz w:val="84"/>
          <w:szCs w:val="84"/>
        </w:rPr>
        <w:t>2023</w:t>
      </w:r>
      <w:r>
        <w:rPr>
          <w:rFonts w:hint="eastAsia" w:ascii="华文琥珀" w:hAnsi="楷体" w:eastAsia="华文琥珀"/>
          <w:sz w:val="84"/>
          <w:szCs w:val="84"/>
          <w:lang w:val="zh-CN"/>
        </w:rPr>
        <w:t>年部门预算</w:t>
      </w:r>
    </w:p>
    <w:p/>
    <w:p/>
    <w:p/>
    <w:p/>
    <w:p/>
    <w:p/>
    <w:p/>
    <w:p/>
    <w:p/>
    <w:p/>
    <w:p/>
    <w:p/>
    <w:p/>
    <w:p/>
    <w:p/>
    <w:p/>
    <w:p/>
    <w:p/>
    <w:p>
      <w:pPr>
        <w:adjustRightInd w:val="0"/>
        <w:snapToGrid w:val="0"/>
        <w:spacing w:line="560" w:lineRule="exact"/>
        <w:jc w:val="center"/>
        <w:rPr>
          <w:rFonts w:ascii="仿宋" w:hAnsi="仿宋" w:eastAsia="仿宋"/>
          <w:color w:val="000000"/>
          <w:sz w:val="32"/>
          <w:szCs w:val="32"/>
        </w:rPr>
      </w:pPr>
    </w:p>
    <w:p>
      <w:pPr>
        <w:adjustRightInd w:val="0"/>
        <w:snapToGrid w:val="0"/>
        <w:spacing w:line="560" w:lineRule="exact"/>
        <w:ind w:firstLine="720" w:firstLineChars="200"/>
        <w:jc w:val="center"/>
        <w:rPr>
          <w:rFonts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ascii="小标宋" w:eastAsia="小标宋"/>
          <w:color w:val="000000"/>
          <w:sz w:val="36"/>
          <w:szCs w:val="36"/>
        </w:rPr>
      </w:pP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第一部分  部门概况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二、机构设置</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三、部门预算部门构成</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第二部分  部门预算表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rPr>
        <w:t>部门预算情况说明</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第一部分　部门概况</w:t>
      </w:r>
    </w:p>
    <w:p>
      <w:pPr>
        <w:adjustRightInd w:val="0"/>
        <w:snapToGrid w:val="0"/>
        <w:spacing w:line="560" w:lineRule="exact"/>
        <w:ind w:firstLine="600" w:firstLineChars="200"/>
        <w:rPr>
          <w:rFonts w:ascii="黑体" w:eastAsia="黑体"/>
          <w:color w:val="000000"/>
          <w:sz w:val="30"/>
          <w:szCs w:val="30"/>
        </w:rPr>
      </w:pP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cs="仿宋"/>
          <w:sz w:val="32"/>
          <w:szCs w:val="32"/>
          <w:lang w:eastAsia="zh-CN"/>
        </w:rPr>
      </w:pPr>
      <w:r>
        <w:rPr>
          <w:rFonts w:hint="eastAsia" w:ascii="仿宋_GB2312" w:eastAsia="仿宋_GB2312" w:cs="仿宋"/>
          <w:sz w:val="32"/>
          <w:szCs w:val="32"/>
          <w:lang w:eastAsia="zh-CN"/>
        </w:rPr>
        <w:t>（</w:t>
      </w:r>
      <w:r>
        <w:rPr>
          <w:rFonts w:hint="eastAsia" w:ascii="仿宋_GB2312" w:eastAsia="仿宋_GB2312" w:cs="仿宋"/>
          <w:sz w:val="32"/>
          <w:szCs w:val="32"/>
          <w:lang w:val="en-US" w:eastAsia="zh-CN"/>
        </w:rPr>
        <w:t>一</w:t>
      </w:r>
      <w:r>
        <w:rPr>
          <w:rFonts w:hint="eastAsia" w:ascii="仿宋_GB2312" w:eastAsia="仿宋_GB2312" w:cs="仿宋"/>
          <w:sz w:val="32"/>
          <w:szCs w:val="32"/>
          <w:lang w:eastAsia="zh-CN"/>
        </w:rPr>
        <w:t>）</w:t>
      </w:r>
      <w:r>
        <w:rPr>
          <w:rFonts w:hint="eastAsia" w:ascii="仿宋_GB2312" w:eastAsia="仿宋_GB2312" w:cs="仿宋"/>
          <w:sz w:val="32"/>
          <w:szCs w:val="32"/>
        </w:rPr>
        <w:t>承担全县水利工程的运行管护工作</w:t>
      </w:r>
      <w:r>
        <w:rPr>
          <w:rFonts w:hint="eastAsia" w:ascii="仿宋_GB2312" w:eastAsia="仿宋_GB2312" w:cs="仿宋"/>
          <w:sz w:val="32"/>
          <w:szCs w:val="32"/>
          <w:lang w:eastAsia="zh-CN"/>
        </w:rPr>
        <w:t>。</w:t>
      </w:r>
    </w:p>
    <w:p>
      <w:pPr>
        <w:ind w:firstLine="640" w:firstLineChars="200"/>
        <w:rPr>
          <w:rFonts w:hint="eastAsia" w:ascii="仿宋_GB2312" w:eastAsia="仿宋_GB2312" w:cs="仿宋"/>
          <w:sz w:val="32"/>
          <w:szCs w:val="32"/>
          <w:lang w:eastAsia="zh-CN"/>
        </w:rPr>
      </w:pPr>
      <w:r>
        <w:rPr>
          <w:rFonts w:hint="eastAsia" w:ascii="仿宋_GB2312" w:eastAsia="仿宋_GB2312" w:cs="仿宋"/>
          <w:sz w:val="32"/>
          <w:szCs w:val="32"/>
          <w:lang w:eastAsia="zh-CN"/>
        </w:rPr>
        <w:t>（</w:t>
      </w:r>
      <w:r>
        <w:rPr>
          <w:rFonts w:hint="eastAsia" w:ascii="仿宋_GB2312" w:eastAsia="仿宋_GB2312" w:cs="仿宋"/>
          <w:sz w:val="32"/>
          <w:szCs w:val="32"/>
          <w:lang w:val="en-US" w:eastAsia="zh-CN"/>
        </w:rPr>
        <w:t>二</w:t>
      </w:r>
      <w:r>
        <w:rPr>
          <w:rFonts w:hint="eastAsia" w:ascii="仿宋_GB2312" w:eastAsia="仿宋_GB2312" w:cs="仿宋"/>
          <w:sz w:val="32"/>
          <w:szCs w:val="32"/>
          <w:lang w:eastAsia="zh-CN"/>
        </w:rPr>
        <w:t>）</w:t>
      </w:r>
      <w:r>
        <w:rPr>
          <w:rFonts w:hint="eastAsia" w:ascii="仿宋_GB2312" w:eastAsia="仿宋_GB2312" w:cs="仿宋"/>
          <w:sz w:val="32"/>
          <w:szCs w:val="32"/>
        </w:rPr>
        <w:t>承担全县水利科技信息的收集服务工作</w:t>
      </w:r>
      <w:r>
        <w:rPr>
          <w:rFonts w:hint="eastAsia" w:ascii="仿宋_GB2312" w:eastAsia="仿宋_GB2312" w:cs="仿宋"/>
          <w:sz w:val="32"/>
          <w:szCs w:val="32"/>
          <w:lang w:eastAsia="zh-CN"/>
        </w:rPr>
        <w:t>。</w:t>
      </w:r>
    </w:p>
    <w:p>
      <w:pPr>
        <w:ind w:firstLine="640" w:firstLineChars="200"/>
        <w:rPr>
          <w:rFonts w:hint="eastAsia" w:ascii="仿宋_GB2312" w:eastAsia="仿宋_GB2312" w:cs="仿宋"/>
          <w:sz w:val="32"/>
          <w:szCs w:val="32"/>
          <w:lang w:eastAsia="zh-CN"/>
        </w:rPr>
      </w:pPr>
      <w:r>
        <w:rPr>
          <w:rFonts w:hint="eastAsia" w:ascii="仿宋_GB2312" w:eastAsia="仿宋_GB2312" w:cs="仿宋"/>
          <w:sz w:val="32"/>
          <w:szCs w:val="32"/>
          <w:lang w:eastAsia="zh-CN"/>
        </w:rPr>
        <w:t>（</w:t>
      </w:r>
      <w:r>
        <w:rPr>
          <w:rFonts w:hint="eastAsia" w:ascii="仿宋_GB2312" w:eastAsia="仿宋_GB2312" w:cs="仿宋"/>
          <w:sz w:val="32"/>
          <w:szCs w:val="32"/>
          <w:lang w:val="en-US" w:eastAsia="zh-CN"/>
        </w:rPr>
        <w:t>三</w:t>
      </w:r>
      <w:r>
        <w:rPr>
          <w:rFonts w:hint="eastAsia" w:ascii="仿宋_GB2312" w:eastAsia="仿宋_GB2312" w:cs="仿宋"/>
          <w:sz w:val="32"/>
          <w:szCs w:val="32"/>
          <w:lang w:eastAsia="zh-CN"/>
        </w:rPr>
        <w:t>）</w:t>
      </w:r>
      <w:r>
        <w:rPr>
          <w:rFonts w:hint="eastAsia" w:ascii="仿宋_GB2312" w:eastAsia="仿宋_GB2312" w:cs="仿宋"/>
          <w:sz w:val="32"/>
          <w:szCs w:val="32"/>
        </w:rPr>
        <w:t>承担全县水利新技术、新产品的引进和推广应用工作</w:t>
      </w:r>
      <w:r>
        <w:rPr>
          <w:rFonts w:hint="eastAsia" w:ascii="仿宋_GB2312" w:eastAsia="仿宋_GB2312" w:cs="仿宋"/>
          <w:sz w:val="32"/>
          <w:szCs w:val="32"/>
          <w:lang w:eastAsia="zh-CN"/>
        </w:rPr>
        <w:t>。</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二、机构设置</w:t>
      </w:r>
    </w:p>
    <w:p>
      <w:pPr>
        <w:ind w:firstLine="640" w:firstLineChars="200"/>
        <w:rPr>
          <w:rFonts w:hint="eastAsia" w:ascii="仿宋_GB2312" w:eastAsia="仿宋_GB2312" w:cs="仿宋"/>
          <w:sz w:val="32"/>
          <w:szCs w:val="32"/>
        </w:rPr>
      </w:pPr>
      <w:r>
        <w:rPr>
          <w:rFonts w:hint="eastAsia" w:ascii="仿宋_GB2312" w:eastAsia="仿宋_GB2312" w:cs="仿宋"/>
          <w:sz w:val="32"/>
          <w:szCs w:val="32"/>
        </w:rPr>
        <w:t>纳入2023年度</w:t>
      </w:r>
      <w:r>
        <w:rPr>
          <w:rFonts w:hint="eastAsia" w:ascii="仿宋_GB2312" w:eastAsia="仿宋_GB2312" w:cs="仿宋"/>
          <w:sz w:val="32"/>
          <w:szCs w:val="32"/>
          <w:lang w:val="en-US" w:eastAsia="zh-CN"/>
        </w:rPr>
        <w:t>预算</w:t>
      </w:r>
      <w:r>
        <w:rPr>
          <w:rFonts w:hint="eastAsia" w:ascii="仿宋_GB2312" w:eastAsia="仿宋_GB2312" w:cs="仿宋"/>
          <w:sz w:val="32"/>
          <w:szCs w:val="32"/>
        </w:rPr>
        <w:t>编制范围的预算单位共计1个，具体包括：湟源县水利站。</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三、部门预算部门构成</w:t>
      </w:r>
    </w:p>
    <w:p>
      <w:pPr>
        <w:ind w:firstLine="640" w:firstLineChars="200"/>
        <w:rPr>
          <w:rFonts w:hint="eastAsia" w:ascii="仿宋_GB2312" w:eastAsia="仿宋_GB2312" w:cs="仿宋"/>
          <w:sz w:val="32"/>
          <w:szCs w:val="32"/>
        </w:rPr>
      </w:pPr>
      <w:r>
        <w:rPr>
          <w:rFonts w:hint="eastAsia" w:ascii="仿宋_GB2312" w:eastAsia="仿宋_GB2312" w:cs="仿宋"/>
          <w:sz w:val="32"/>
          <w:szCs w:val="32"/>
        </w:rPr>
        <w:t>纳入湟源县水利站2023年部门预算编制范围的二级预算单位包括：</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Borders>
              <w:top w:val="single" w:color="auto" w:sz="4" w:space="0"/>
              <w:left w:val="single" w:color="auto" w:sz="4" w:space="0"/>
              <w:bottom w:val="single" w:color="auto" w:sz="4" w:space="0"/>
              <w:right w:val="single" w:color="auto" w:sz="4" w:space="0"/>
            </w:tcBorders>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tcBorders>
              <w:top w:val="single" w:color="auto" w:sz="4" w:space="0"/>
              <w:left w:val="single" w:color="auto" w:sz="4" w:space="0"/>
              <w:bottom w:val="single" w:color="auto" w:sz="4" w:space="0"/>
              <w:right w:val="single" w:color="auto" w:sz="4" w:space="0"/>
            </w:tcBorders>
          </w:tcPr>
          <w:p>
            <w:pPr>
              <w:jc w:val="center"/>
              <w:rPr>
                <w:rFonts w:hint="eastAsia" w:ascii="仿宋_GB2312" w:eastAsia="仿宋_GB2312"/>
                <w:sz w:val="32"/>
                <w:szCs w:val="32"/>
              </w:rPr>
            </w:pPr>
            <w:r>
              <w:rPr>
                <w:rFonts w:hint="eastAsia" w:ascii="仿宋_GB2312" w:eastAsia="仿宋_GB2312"/>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Borders>
              <w:top w:val="single" w:color="auto" w:sz="4" w:space="0"/>
              <w:left w:val="single" w:color="auto" w:sz="4" w:space="0"/>
              <w:bottom w:val="single" w:color="auto" w:sz="4" w:space="0"/>
              <w:right w:val="single" w:color="auto" w:sz="4" w:space="0"/>
            </w:tcBorders>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tcBorders>
              <w:top w:val="single" w:color="auto" w:sz="4" w:space="0"/>
              <w:left w:val="single" w:color="auto" w:sz="4" w:space="0"/>
              <w:bottom w:val="single" w:color="auto" w:sz="4" w:space="0"/>
              <w:right w:val="single" w:color="auto" w:sz="4" w:space="0"/>
            </w:tcBorders>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adjustRightInd w:val="0"/>
        <w:snapToGrid w:val="0"/>
        <w:spacing w:line="560" w:lineRule="exact"/>
        <w:ind w:firstLine="600" w:firstLineChars="200"/>
        <w:jc w:val="center"/>
        <w:rPr>
          <w:rFonts w:ascii="仿宋_GB2312" w:eastAsia="仿宋_GB2312"/>
          <w:color w:val="000000"/>
          <w:sz w:val="30"/>
          <w:szCs w:val="30"/>
        </w:rPr>
      </w:pPr>
    </w:p>
    <w:p>
      <w: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第二部分  部门预算表</w:t>
      </w:r>
    </w:p>
    <w:tbl>
      <w:tblPr>
        <w:tblStyle w:val="6"/>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201.39</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48.39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18.70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122.64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11.65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201.39</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201.39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201.39</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201.39</w:t>
            </w:r>
          </w:p>
        </w:tc>
      </w:tr>
    </w:tbl>
    <w:p>
      <w:pPr>
        <w:rPr>
          <w:rFonts w:ascii="仿宋_GB2312" w:eastAsia="仿宋_GB2312"/>
          <w:sz w:val="32"/>
          <w:szCs w:val="32"/>
        </w:rPr>
      </w:pPr>
    </w:p>
    <w:tbl>
      <w:tblPr>
        <w:tblStyle w:val="6"/>
        <w:tblpPr w:leftFromText="180" w:rightFromText="180" w:vertAnchor="text" w:horzAnchor="page" w:tblpXSpec="center" w:tblpY="618"/>
        <w:tblOverlap w:val="never"/>
        <w:tblW w:w="11531" w:type="dxa"/>
        <w:jc w:val="center"/>
        <w:tblLayout w:type="fixed"/>
        <w:tblCellMar>
          <w:top w:w="0" w:type="dxa"/>
          <w:left w:w="108" w:type="dxa"/>
          <w:bottom w:w="0" w:type="dxa"/>
          <w:right w:w="108" w:type="dxa"/>
        </w:tblCellMar>
      </w:tblPr>
      <w:tblGrid>
        <w:gridCol w:w="1111"/>
        <w:gridCol w:w="1100"/>
        <w:gridCol w:w="923"/>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531"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531"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531" w:type="dxa"/>
            <w:gridSpan w:val="12"/>
            <w:tcBorders>
              <w:top w:val="nil"/>
              <w:left w:val="nil"/>
              <w:bottom w:val="single" w:color="auto" w:sz="4" w:space="0"/>
              <w:right w:val="nil"/>
            </w:tcBorders>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预算部门</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2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附属部门上缴收入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事业部门经营收入</w:t>
            </w:r>
          </w:p>
        </w:tc>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1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p>
        </w:tc>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201.39</w:t>
            </w:r>
          </w:p>
        </w:tc>
        <w:tc>
          <w:tcPr>
            <w:tcW w:w="92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201.39</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1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湟源县水利局</w:t>
            </w:r>
          </w:p>
        </w:tc>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201.39</w:t>
            </w:r>
          </w:p>
        </w:tc>
        <w:tc>
          <w:tcPr>
            <w:tcW w:w="92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201.39</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1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湟源县水利站</w:t>
            </w:r>
          </w:p>
        </w:tc>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201.39</w:t>
            </w:r>
          </w:p>
        </w:tc>
        <w:tc>
          <w:tcPr>
            <w:tcW w:w="92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201.39</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6"/>
        <w:tblW w:w="11515" w:type="dxa"/>
        <w:jc w:val="center"/>
        <w:tblLayout w:type="fixed"/>
        <w:tblCellMar>
          <w:top w:w="0" w:type="dxa"/>
          <w:left w:w="108" w:type="dxa"/>
          <w:bottom w:w="0" w:type="dxa"/>
          <w:right w:w="108" w:type="dxa"/>
        </w:tblCellMar>
      </w:tblPr>
      <w:tblGrid>
        <w:gridCol w:w="1100"/>
        <w:gridCol w:w="3848"/>
        <w:gridCol w:w="1094"/>
        <w:gridCol w:w="1094"/>
        <w:gridCol w:w="1094"/>
        <w:gridCol w:w="1094"/>
        <w:gridCol w:w="1094"/>
        <w:gridCol w:w="1097"/>
      </w:tblGrid>
      <w:tr>
        <w:tblPrEx>
          <w:tblCellMar>
            <w:top w:w="0" w:type="dxa"/>
            <w:left w:w="108" w:type="dxa"/>
            <w:bottom w:w="0" w:type="dxa"/>
            <w:right w:w="108" w:type="dxa"/>
          </w:tblCellMar>
        </w:tblPrEx>
        <w:trPr>
          <w:trHeight w:val="187" w:hRule="atLeast"/>
          <w:jc w:val="center"/>
        </w:trPr>
        <w:tc>
          <w:tcPr>
            <w:tcW w:w="11515"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rPr>
              <w:t>部门公开表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515"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515" w:type="dxa"/>
            <w:gridSpan w:val="8"/>
            <w:tcBorders>
              <w:top w:val="nil"/>
              <w:left w:val="nil"/>
              <w:bottom w:val="single" w:color="auto" w:sz="4" w:space="0"/>
              <w:right w:val="nil"/>
            </w:tcBorders>
            <w:shd w:val="clear" w:color="auto" w:fill="FFFFFF"/>
            <w:noWrap/>
            <w:vAlign w:val="center"/>
          </w:tcPr>
          <w:p>
            <w:pPr>
              <w:widowControl/>
              <w:jc w:val="right"/>
              <w:rPr>
                <w:rFonts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事业部门经营支出</w:t>
            </w:r>
          </w:p>
        </w:tc>
        <w:tc>
          <w:tcPr>
            <w:tcW w:w="10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对附属部门补助支出</w:t>
            </w:r>
          </w:p>
        </w:tc>
      </w:tr>
      <w:tr>
        <w:tblPrEx>
          <w:tblCellMar>
            <w:top w:w="0" w:type="dxa"/>
            <w:left w:w="108" w:type="dxa"/>
            <w:bottom w:w="0" w:type="dxa"/>
            <w:right w:w="108" w:type="dxa"/>
          </w:tblCellMar>
        </w:tblPrEx>
        <w:trPr>
          <w:trHeight w:val="324" w:hRule="atLeast"/>
          <w:jc w:val="center"/>
        </w:trPr>
        <w:tc>
          <w:tcPr>
            <w:tcW w:w="494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201.39</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196.39</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w:t>
            </w:r>
          </w:p>
        </w:tc>
        <w:tc>
          <w:tcPr>
            <w:tcW w:w="38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社会保障和就业支出</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48.39</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48.39</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w:t>
            </w:r>
          </w:p>
        </w:tc>
        <w:tc>
          <w:tcPr>
            <w:tcW w:w="38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行政事业单位养老支出</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47.86</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47.86</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2080505</w:t>
            </w:r>
          </w:p>
        </w:tc>
        <w:tc>
          <w:tcPr>
            <w:tcW w:w="38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机关事业单位基本养老保险缴费支出</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12.78</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12.78</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2080506</w:t>
            </w:r>
          </w:p>
        </w:tc>
        <w:tc>
          <w:tcPr>
            <w:tcW w:w="38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机关事业单位职业年金缴费支出</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6.39</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6.39</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2080599</w:t>
            </w:r>
          </w:p>
        </w:tc>
        <w:tc>
          <w:tcPr>
            <w:tcW w:w="38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其他行政事业单位养老支出</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28.69</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28.69</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w:t>
            </w:r>
          </w:p>
        </w:tc>
        <w:tc>
          <w:tcPr>
            <w:tcW w:w="38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0.53</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0.53</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2089999</w:t>
            </w:r>
          </w:p>
        </w:tc>
        <w:tc>
          <w:tcPr>
            <w:tcW w:w="38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0.53</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0.53</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w:t>
            </w:r>
          </w:p>
        </w:tc>
        <w:tc>
          <w:tcPr>
            <w:tcW w:w="38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卫生健康支出</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18.70</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18.70</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w:t>
            </w:r>
          </w:p>
        </w:tc>
        <w:tc>
          <w:tcPr>
            <w:tcW w:w="38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行政事业单位医疗</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18.70</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18.70</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2101102</w:t>
            </w:r>
          </w:p>
        </w:tc>
        <w:tc>
          <w:tcPr>
            <w:tcW w:w="38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事业单位医疗</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12.63</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12.63</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2101103</w:t>
            </w:r>
          </w:p>
        </w:tc>
        <w:tc>
          <w:tcPr>
            <w:tcW w:w="38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公务员医疗补助</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6.07</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6.07</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w:t>
            </w:r>
          </w:p>
        </w:tc>
        <w:tc>
          <w:tcPr>
            <w:tcW w:w="38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农林水支出</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122.64</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117.64</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21303</w:t>
            </w:r>
          </w:p>
        </w:tc>
        <w:tc>
          <w:tcPr>
            <w:tcW w:w="38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水利</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122.64</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117.64</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2130304</w:t>
            </w:r>
          </w:p>
        </w:tc>
        <w:tc>
          <w:tcPr>
            <w:tcW w:w="38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水利行业业务管理</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122.64</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117.64</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w:t>
            </w:r>
          </w:p>
        </w:tc>
        <w:tc>
          <w:tcPr>
            <w:tcW w:w="38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住房保障支出</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11.65</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11.65</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w:t>
            </w:r>
          </w:p>
        </w:tc>
        <w:tc>
          <w:tcPr>
            <w:tcW w:w="38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住房改革支出</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11.65</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11.65</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2210201</w:t>
            </w:r>
          </w:p>
        </w:tc>
        <w:tc>
          <w:tcPr>
            <w:tcW w:w="38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住房公积金</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11.65</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11.65</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bl>
    <w:p>
      <w:r>
        <w:br w:type="page"/>
      </w:r>
    </w:p>
    <w:tbl>
      <w:tblPr>
        <w:tblStyle w:val="6"/>
        <w:tblpPr w:leftFromText="180" w:rightFromText="180" w:vertAnchor="text" w:horzAnchor="page" w:tblpXSpec="center" w:tblpY="183"/>
        <w:tblOverlap w:val="never"/>
        <w:tblW w:w="9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2"/>
        <w:gridCol w:w="1084"/>
        <w:gridCol w:w="1751"/>
        <w:gridCol w:w="1266"/>
        <w:gridCol w:w="1266"/>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96" w:type="dxa"/>
            <w:gridSpan w:val="6"/>
            <w:tcBorders>
              <w:top w:val="nil"/>
              <w:left w:val="nil"/>
              <w:bottom w:val="nil"/>
              <w:right w:val="nil"/>
            </w:tcBorders>
            <w:vAlign w:val="center"/>
          </w:tcPr>
          <w:p>
            <w:pPr>
              <w:widowControl/>
              <w:ind w:right="201"/>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96"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96"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26"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26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6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38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201.39</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一、本年支出</w:t>
            </w:r>
          </w:p>
        </w:tc>
        <w:tc>
          <w:tcPr>
            <w:tcW w:w="126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201.39</w:t>
            </w:r>
          </w:p>
        </w:tc>
        <w:tc>
          <w:tcPr>
            <w:tcW w:w="126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201.39</w:t>
            </w:r>
          </w:p>
        </w:tc>
        <w:tc>
          <w:tcPr>
            <w:tcW w:w="13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201.39</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（一）一般公共服务支出</w:t>
            </w:r>
          </w:p>
        </w:tc>
        <w:tc>
          <w:tcPr>
            <w:tcW w:w="1266" w:type="dxa"/>
            <w:shd w:val="clear" w:color="auto" w:fill="FFFFFF"/>
            <w:noWrap/>
            <w:vAlign w:val="center"/>
          </w:tcPr>
          <w:p>
            <w:pPr>
              <w:widowControl/>
              <w:jc w:val="center"/>
              <w:rPr>
                <w:rFonts w:ascii="宋体" w:hAnsi="宋体" w:cs="宋体"/>
                <w:kern w:val="0"/>
                <w:sz w:val="20"/>
              </w:rPr>
            </w:pPr>
          </w:p>
        </w:tc>
        <w:tc>
          <w:tcPr>
            <w:tcW w:w="1266" w:type="dxa"/>
            <w:shd w:val="clear" w:color="auto" w:fill="FFFFFF"/>
            <w:noWrap/>
            <w:vAlign w:val="center"/>
          </w:tcPr>
          <w:p>
            <w:pPr>
              <w:widowControl/>
              <w:jc w:val="center"/>
              <w:rPr>
                <w:rFonts w:ascii="宋体" w:hAnsi="宋体" w:cs="宋体"/>
                <w:kern w:val="0"/>
                <w:sz w:val="20"/>
              </w:rPr>
            </w:pPr>
          </w:p>
        </w:tc>
        <w:tc>
          <w:tcPr>
            <w:tcW w:w="13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（二）外交支出</w:t>
            </w:r>
          </w:p>
        </w:tc>
        <w:tc>
          <w:tcPr>
            <w:tcW w:w="1266" w:type="dxa"/>
            <w:shd w:val="clear" w:color="auto" w:fill="FFFFFF"/>
            <w:noWrap/>
            <w:vAlign w:val="center"/>
          </w:tcPr>
          <w:p>
            <w:pPr>
              <w:widowControl/>
              <w:jc w:val="center"/>
              <w:rPr>
                <w:rFonts w:ascii="宋体" w:hAnsi="宋体" w:cs="宋体"/>
                <w:kern w:val="0"/>
                <w:sz w:val="20"/>
              </w:rPr>
            </w:pPr>
          </w:p>
        </w:tc>
        <w:tc>
          <w:tcPr>
            <w:tcW w:w="1266" w:type="dxa"/>
            <w:shd w:val="clear" w:color="auto" w:fill="FFFFFF"/>
            <w:noWrap/>
            <w:vAlign w:val="center"/>
          </w:tcPr>
          <w:p>
            <w:pPr>
              <w:widowControl/>
              <w:jc w:val="center"/>
              <w:rPr>
                <w:rFonts w:ascii="宋体" w:hAnsi="宋体" w:cs="宋体"/>
                <w:kern w:val="0"/>
                <w:sz w:val="20"/>
              </w:rPr>
            </w:pPr>
          </w:p>
        </w:tc>
        <w:tc>
          <w:tcPr>
            <w:tcW w:w="13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（三）国防支出</w:t>
            </w:r>
          </w:p>
        </w:tc>
        <w:tc>
          <w:tcPr>
            <w:tcW w:w="1266" w:type="dxa"/>
            <w:shd w:val="clear" w:color="auto" w:fill="FFFFFF"/>
            <w:noWrap/>
            <w:vAlign w:val="center"/>
          </w:tcPr>
          <w:p>
            <w:pPr>
              <w:widowControl/>
              <w:jc w:val="center"/>
              <w:rPr>
                <w:rFonts w:ascii="宋体" w:hAnsi="宋体" w:cs="宋体"/>
                <w:kern w:val="0"/>
                <w:sz w:val="20"/>
              </w:rPr>
            </w:pPr>
          </w:p>
        </w:tc>
        <w:tc>
          <w:tcPr>
            <w:tcW w:w="1266" w:type="dxa"/>
            <w:shd w:val="clear" w:color="auto" w:fill="FFFFFF"/>
            <w:noWrap/>
            <w:vAlign w:val="center"/>
          </w:tcPr>
          <w:p>
            <w:pPr>
              <w:widowControl/>
              <w:jc w:val="center"/>
              <w:rPr>
                <w:rFonts w:ascii="宋体" w:hAnsi="宋体" w:cs="宋体"/>
                <w:kern w:val="0"/>
                <w:sz w:val="20"/>
              </w:rPr>
            </w:pPr>
          </w:p>
        </w:tc>
        <w:tc>
          <w:tcPr>
            <w:tcW w:w="13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（四）公共安全支出</w:t>
            </w:r>
          </w:p>
        </w:tc>
        <w:tc>
          <w:tcPr>
            <w:tcW w:w="1266" w:type="dxa"/>
            <w:shd w:val="clear" w:color="auto" w:fill="FFFFFF"/>
            <w:noWrap/>
            <w:vAlign w:val="center"/>
          </w:tcPr>
          <w:p>
            <w:pPr>
              <w:widowControl/>
              <w:jc w:val="center"/>
              <w:rPr>
                <w:rFonts w:ascii="宋体" w:hAnsi="宋体" w:cs="宋体"/>
                <w:kern w:val="0"/>
                <w:sz w:val="20"/>
              </w:rPr>
            </w:pPr>
          </w:p>
        </w:tc>
        <w:tc>
          <w:tcPr>
            <w:tcW w:w="1266" w:type="dxa"/>
            <w:shd w:val="clear" w:color="auto" w:fill="FFFFFF"/>
            <w:noWrap/>
            <w:vAlign w:val="center"/>
          </w:tcPr>
          <w:p>
            <w:pPr>
              <w:widowControl/>
              <w:jc w:val="center"/>
              <w:rPr>
                <w:rFonts w:ascii="宋体" w:hAnsi="宋体" w:cs="宋体"/>
                <w:kern w:val="0"/>
                <w:sz w:val="20"/>
              </w:rPr>
            </w:pPr>
          </w:p>
        </w:tc>
        <w:tc>
          <w:tcPr>
            <w:tcW w:w="13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（五）教育支出</w:t>
            </w:r>
          </w:p>
        </w:tc>
        <w:tc>
          <w:tcPr>
            <w:tcW w:w="1266" w:type="dxa"/>
            <w:shd w:val="clear" w:color="auto" w:fill="FFFFFF"/>
            <w:noWrap/>
            <w:vAlign w:val="center"/>
          </w:tcPr>
          <w:p>
            <w:pPr>
              <w:widowControl/>
              <w:jc w:val="center"/>
              <w:rPr>
                <w:rFonts w:ascii="宋体" w:hAnsi="宋体" w:cs="宋体"/>
                <w:kern w:val="0"/>
                <w:sz w:val="20"/>
              </w:rPr>
            </w:pPr>
          </w:p>
        </w:tc>
        <w:tc>
          <w:tcPr>
            <w:tcW w:w="1266" w:type="dxa"/>
            <w:shd w:val="clear" w:color="auto" w:fill="FFFFFF"/>
            <w:noWrap/>
            <w:vAlign w:val="center"/>
          </w:tcPr>
          <w:p>
            <w:pPr>
              <w:widowControl/>
              <w:jc w:val="center"/>
              <w:rPr>
                <w:rFonts w:ascii="宋体" w:hAnsi="宋体" w:cs="宋体"/>
                <w:kern w:val="0"/>
                <w:sz w:val="20"/>
              </w:rPr>
            </w:pPr>
          </w:p>
        </w:tc>
        <w:tc>
          <w:tcPr>
            <w:tcW w:w="13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（六）科学技术支出</w:t>
            </w:r>
          </w:p>
        </w:tc>
        <w:tc>
          <w:tcPr>
            <w:tcW w:w="1266" w:type="dxa"/>
            <w:shd w:val="clear" w:color="auto" w:fill="FFFFFF"/>
            <w:noWrap/>
            <w:vAlign w:val="center"/>
          </w:tcPr>
          <w:p>
            <w:pPr>
              <w:widowControl/>
              <w:jc w:val="center"/>
              <w:rPr>
                <w:rFonts w:ascii="宋体" w:hAnsi="宋体" w:cs="宋体"/>
                <w:kern w:val="0"/>
                <w:sz w:val="20"/>
              </w:rPr>
            </w:pPr>
          </w:p>
        </w:tc>
        <w:tc>
          <w:tcPr>
            <w:tcW w:w="1266" w:type="dxa"/>
            <w:shd w:val="clear" w:color="auto" w:fill="FFFFFF"/>
            <w:noWrap/>
            <w:vAlign w:val="center"/>
          </w:tcPr>
          <w:p>
            <w:pPr>
              <w:widowControl/>
              <w:jc w:val="center"/>
              <w:rPr>
                <w:rFonts w:ascii="宋体" w:hAnsi="宋体" w:cs="宋体"/>
                <w:kern w:val="0"/>
                <w:sz w:val="20"/>
              </w:rPr>
            </w:pPr>
          </w:p>
        </w:tc>
        <w:tc>
          <w:tcPr>
            <w:tcW w:w="13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（七）文化旅游体育与传媒支出</w:t>
            </w:r>
          </w:p>
        </w:tc>
        <w:tc>
          <w:tcPr>
            <w:tcW w:w="1266" w:type="dxa"/>
            <w:shd w:val="clear" w:color="auto" w:fill="FFFFFF"/>
            <w:noWrap/>
            <w:vAlign w:val="center"/>
          </w:tcPr>
          <w:p>
            <w:pPr>
              <w:widowControl/>
              <w:jc w:val="center"/>
              <w:rPr>
                <w:rFonts w:ascii="宋体" w:hAnsi="宋体" w:cs="宋体"/>
                <w:kern w:val="0"/>
                <w:sz w:val="20"/>
              </w:rPr>
            </w:pPr>
          </w:p>
        </w:tc>
        <w:tc>
          <w:tcPr>
            <w:tcW w:w="1266" w:type="dxa"/>
            <w:shd w:val="clear" w:color="auto" w:fill="FFFFFF"/>
            <w:noWrap/>
            <w:vAlign w:val="center"/>
          </w:tcPr>
          <w:p>
            <w:pPr>
              <w:widowControl/>
              <w:jc w:val="center"/>
              <w:rPr>
                <w:rFonts w:ascii="宋体" w:hAnsi="宋体" w:cs="宋体"/>
                <w:kern w:val="0"/>
                <w:sz w:val="20"/>
              </w:rPr>
            </w:pPr>
          </w:p>
        </w:tc>
        <w:tc>
          <w:tcPr>
            <w:tcW w:w="13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（八）社会保障和就业支出</w:t>
            </w:r>
          </w:p>
        </w:tc>
        <w:tc>
          <w:tcPr>
            <w:tcW w:w="126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48.39</w:t>
            </w:r>
          </w:p>
        </w:tc>
        <w:tc>
          <w:tcPr>
            <w:tcW w:w="126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48.39</w:t>
            </w:r>
          </w:p>
        </w:tc>
        <w:tc>
          <w:tcPr>
            <w:tcW w:w="13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（九）社会保险基金支出</w:t>
            </w:r>
          </w:p>
        </w:tc>
        <w:tc>
          <w:tcPr>
            <w:tcW w:w="1266" w:type="dxa"/>
            <w:shd w:val="clear" w:color="auto" w:fill="FFFFFF"/>
            <w:noWrap/>
            <w:vAlign w:val="center"/>
          </w:tcPr>
          <w:p>
            <w:pPr>
              <w:widowControl/>
              <w:jc w:val="center"/>
              <w:rPr>
                <w:rFonts w:ascii="宋体" w:hAnsi="宋体" w:cs="宋体"/>
                <w:kern w:val="0"/>
                <w:sz w:val="20"/>
              </w:rPr>
            </w:pPr>
          </w:p>
        </w:tc>
        <w:tc>
          <w:tcPr>
            <w:tcW w:w="1266" w:type="dxa"/>
            <w:shd w:val="clear" w:color="auto" w:fill="FFFFFF"/>
            <w:noWrap/>
            <w:vAlign w:val="center"/>
          </w:tcPr>
          <w:p>
            <w:pPr>
              <w:widowControl/>
              <w:jc w:val="center"/>
              <w:rPr>
                <w:rFonts w:ascii="宋体" w:hAnsi="宋体" w:cs="宋体"/>
                <w:kern w:val="0"/>
                <w:sz w:val="20"/>
              </w:rPr>
            </w:pPr>
          </w:p>
        </w:tc>
        <w:tc>
          <w:tcPr>
            <w:tcW w:w="13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（十）卫生健康支出</w:t>
            </w:r>
          </w:p>
        </w:tc>
        <w:tc>
          <w:tcPr>
            <w:tcW w:w="126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18.70</w:t>
            </w:r>
          </w:p>
        </w:tc>
        <w:tc>
          <w:tcPr>
            <w:tcW w:w="126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18.70</w:t>
            </w:r>
          </w:p>
        </w:tc>
        <w:tc>
          <w:tcPr>
            <w:tcW w:w="13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（十一）节能环保支出</w:t>
            </w:r>
          </w:p>
        </w:tc>
        <w:tc>
          <w:tcPr>
            <w:tcW w:w="1266" w:type="dxa"/>
            <w:shd w:val="clear" w:color="auto" w:fill="FFFFFF"/>
            <w:noWrap/>
            <w:vAlign w:val="center"/>
          </w:tcPr>
          <w:p>
            <w:pPr>
              <w:widowControl/>
              <w:jc w:val="center"/>
              <w:rPr>
                <w:rFonts w:ascii="宋体" w:hAnsi="宋体" w:cs="宋体"/>
                <w:kern w:val="0"/>
                <w:sz w:val="20"/>
              </w:rPr>
            </w:pPr>
          </w:p>
        </w:tc>
        <w:tc>
          <w:tcPr>
            <w:tcW w:w="1266" w:type="dxa"/>
            <w:shd w:val="clear" w:color="auto" w:fill="FFFFFF"/>
            <w:noWrap/>
            <w:vAlign w:val="center"/>
          </w:tcPr>
          <w:p>
            <w:pPr>
              <w:widowControl/>
              <w:jc w:val="center"/>
              <w:rPr>
                <w:rFonts w:ascii="宋体" w:hAnsi="宋体" w:cs="宋体"/>
                <w:kern w:val="0"/>
                <w:sz w:val="20"/>
              </w:rPr>
            </w:pPr>
          </w:p>
        </w:tc>
        <w:tc>
          <w:tcPr>
            <w:tcW w:w="13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（十二）城乡社区支出</w:t>
            </w:r>
          </w:p>
        </w:tc>
        <w:tc>
          <w:tcPr>
            <w:tcW w:w="1266" w:type="dxa"/>
            <w:shd w:val="clear" w:color="auto" w:fill="FFFFFF"/>
            <w:noWrap/>
            <w:vAlign w:val="center"/>
          </w:tcPr>
          <w:p>
            <w:pPr>
              <w:widowControl/>
              <w:jc w:val="center"/>
              <w:rPr>
                <w:rFonts w:ascii="宋体" w:hAnsi="宋体" w:cs="宋体"/>
                <w:kern w:val="0"/>
                <w:sz w:val="20"/>
              </w:rPr>
            </w:pPr>
          </w:p>
        </w:tc>
        <w:tc>
          <w:tcPr>
            <w:tcW w:w="1266" w:type="dxa"/>
            <w:shd w:val="clear" w:color="auto" w:fill="FFFFFF"/>
            <w:noWrap/>
            <w:vAlign w:val="center"/>
          </w:tcPr>
          <w:p>
            <w:pPr>
              <w:widowControl/>
              <w:jc w:val="center"/>
              <w:rPr>
                <w:rFonts w:ascii="宋体" w:hAnsi="宋体" w:cs="宋体"/>
                <w:kern w:val="0"/>
                <w:sz w:val="20"/>
              </w:rPr>
            </w:pPr>
          </w:p>
        </w:tc>
        <w:tc>
          <w:tcPr>
            <w:tcW w:w="13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（十三）农林水支出</w:t>
            </w:r>
          </w:p>
        </w:tc>
        <w:tc>
          <w:tcPr>
            <w:tcW w:w="126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122.64</w:t>
            </w:r>
          </w:p>
        </w:tc>
        <w:tc>
          <w:tcPr>
            <w:tcW w:w="126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122.64</w:t>
            </w:r>
          </w:p>
        </w:tc>
        <w:tc>
          <w:tcPr>
            <w:tcW w:w="13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（十四）交通运输支出</w:t>
            </w:r>
          </w:p>
        </w:tc>
        <w:tc>
          <w:tcPr>
            <w:tcW w:w="1266" w:type="dxa"/>
            <w:shd w:val="clear" w:color="auto" w:fill="FFFFFF"/>
            <w:noWrap/>
            <w:vAlign w:val="center"/>
          </w:tcPr>
          <w:p>
            <w:pPr>
              <w:widowControl/>
              <w:jc w:val="center"/>
              <w:rPr>
                <w:rFonts w:ascii="宋体" w:hAnsi="宋体" w:cs="宋体"/>
                <w:kern w:val="0"/>
                <w:sz w:val="20"/>
              </w:rPr>
            </w:pPr>
          </w:p>
        </w:tc>
        <w:tc>
          <w:tcPr>
            <w:tcW w:w="1266" w:type="dxa"/>
            <w:shd w:val="clear" w:color="auto" w:fill="FFFFFF"/>
            <w:noWrap/>
            <w:vAlign w:val="center"/>
          </w:tcPr>
          <w:p>
            <w:pPr>
              <w:widowControl/>
              <w:jc w:val="center"/>
              <w:rPr>
                <w:rFonts w:ascii="宋体" w:hAnsi="宋体" w:cs="宋体"/>
                <w:kern w:val="0"/>
                <w:sz w:val="20"/>
              </w:rPr>
            </w:pPr>
          </w:p>
        </w:tc>
        <w:tc>
          <w:tcPr>
            <w:tcW w:w="13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（十五）资源勘探工业信息等支出</w:t>
            </w:r>
          </w:p>
        </w:tc>
        <w:tc>
          <w:tcPr>
            <w:tcW w:w="1266" w:type="dxa"/>
            <w:shd w:val="clear" w:color="auto" w:fill="FFFFFF"/>
            <w:noWrap/>
            <w:vAlign w:val="center"/>
          </w:tcPr>
          <w:p>
            <w:pPr>
              <w:widowControl/>
              <w:jc w:val="center"/>
              <w:rPr>
                <w:rFonts w:ascii="宋体" w:hAnsi="宋体" w:cs="宋体"/>
                <w:kern w:val="0"/>
                <w:sz w:val="20"/>
              </w:rPr>
            </w:pPr>
          </w:p>
        </w:tc>
        <w:tc>
          <w:tcPr>
            <w:tcW w:w="1266" w:type="dxa"/>
            <w:shd w:val="clear" w:color="auto" w:fill="FFFFFF"/>
            <w:noWrap/>
            <w:vAlign w:val="center"/>
          </w:tcPr>
          <w:p>
            <w:pPr>
              <w:widowControl/>
              <w:jc w:val="center"/>
              <w:rPr>
                <w:rFonts w:ascii="宋体" w:hAnsi="宋体" w:cs="宋体"/>
                <w:kern w:val="0"/>
                <w:sz w:val="20"/>
              </w:rPr>
            </w:pPr>
          </w:p>
        </w:tc>
        <w:tc>
          <w:tcPr>
            <w:tcW w:w="13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（十六）商业服务业等支出</w:t>
            </w:r>
          </w:p>
        </w:tc>
        <w:tc>
          <w:tcPr>
            <w:tcW w:w="1266" w:type="dxa"/>
            <w:shd w:val="clear" w:color="auto" w:fill="FFFFFF"/>
            <w:noWrap/>
            <w:vAlign w:val="center"/>
          </w:tcPr>
          <w:p>
            <w:pPr>
              <w:widowControl/>
              <w:jc w:val="center"/>
              <w:rPr>
                <w:rFonts w:ascii="宋体" w:hAnsi="宋体" w:cs="宋体"/>
                <w:kern w:val="0"/>
                <w:sz w:val="20"/>
              </w:rPr>
            </w:pPr>
          </w:p>
        </w:tc>
        <w:tc>
          <w:tcPr>
            <w:tcW w:w="1266" w:type="dxa"/>
            <w:shd w:val="clear" w:color="auto" w:fill="FFFFFF"/>
            <w:noWrap/>
            <w:vAlign w:val="center"/>
          </w:tcPr>
          <w:p>
            <w:pPr>
              <w:widowControl/>
              <w:jc w:val="center"/>
              <w:rPr>
                <w:rFonts w:ascii="宋体" w:hAnsi="宋体" w:cs="宋体"/>
                <w:kern w:val="0"/>
                <w:sz w:val="20"/>
              </w:rPr>
            </w:pPr>
          </w:p>
        </w:tc>
        <w:tc>
          <w:tcPr>
            <w:tcW w:w="13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（十七）金融支出</w:t>
            </w:r>
          </w:p>
        </w:tc>
        <w:tc>
          <w:tcPr>
            <w:tcW w:w="1266" w:type="dxa"/>
            <w:shd w:val="clear" w:color="auto" w:fill="FFFFFF"/>
            <w:noWrap/>
            <w:vAlign w:val="center"/>
          </w:tcPr>
          <w:p>
            <w:pPr>
              <w:widowControl/>
              <w:jc w:val="center"/>
              <w:rPr>
                <w:rFonts w:ascii="宋体" w:hAnsi="宋体" w:cs="宋体"/>
                <w:kern w:val="0"/>
                <w:sz w:val="20"/>
              </w:rPr>
            </w:pPr>
          </w:p>
        </w:tc>
        <w:tc>
          <w:tcPr>
            <w:tcW w:w="1266" w:type="dxa"/>
            <w:shd w:val="clear" w:color="auto" w:fill="FFFFFF"/>
            <w:noWrap/>
            <w:vAlign w:val="center"/>
          </w:tcPr>
          <w:p>
            <w:pPr>
              <w:widowControl/>
              <w:jc w:val="center"/>
              <w:rPr>
                <w:rFonts w:ascii="宋体" w:hAnsi="宋体" w:cs="宋体"/>
                <w:kern w:val="0"/>
                <w:sz w:val="20"/>
              </w:rPr>
            </w:pPr>
          </w:p>
        </w:tc>
        <w:tc>
          <w:tcPr>
            <w:tcW w:w="13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（十八）援助其他地区支出</w:t>
            </w:r>
          </w:p>
        </w:tc>
        <w:tc>
          <w:tcPr>
            <w:tcW w:w="1266" w:type="dxa"/>
            <w:shd w:val="clear" w:color="auto" w:fill="FFFFFF"/>
            <w:noWrap/>
            <w:vAlign w:val="center"/>
          </w:tcPr>
          <w:p>
            <w:pPr>
              <w:widowControl/>
              <w:jc w:val="center"/>
              <w:rPr>
                <w:rFonts w:ascii="宋体" w:hAnsi="宋体" w:cs="宋体"/>
                <w:kern w:val="0"/>
                <w:sz w:val="20"/>
              </w:rPr>
            </w:pPr>
          </w:p>
        </w:tc>
        <w:tc>
          <w:tcPr>
            <w:tcW w:w="1266" w:type="dxa"/>
            <w:shd w:val="clear" w:color="auto" w:fill="FFFFFF"/>
            <w:noWrap/>
            <w:vAlign w:val="center"/>
          </w:tcPr>
          <w:p>
            <w:pPr>
              <w:widowControl/>
              <w:jc w:val="center"/>
              <w:rPr>
                <w:rFonts w:ascii="宋体" w:hAnsi="宋体" w:cs="宋体"/>
                <w:kern w:val="0"/>
                <w:sz w:val="20"/>
              </w:rPr>
            </w:pPr>
          </w:p>
        </w:tc>
        <w:tc>
          <w:tcPr>
            <w:tcW w:w="13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（十九）自然资源海洋气象等支出</w:t>
            </w:r>
          </w:p>
        </w:tc>
        <w:tc>
          <w:tcPr>
            <w:tcW w:w="1266" w:type="dxa"/>
            <w:shd w:val="clear" w:color="auto" w:fill="FFFFFF"/>
            <w:noWrap/>
            <w:vAlign w:val="center"/>
          </w:tcPr>
          <w:p>
            <w:pPr>
              <w:widowControl/>
              <w:jc w:val="center"/>
              <w:rPr>
                <w:rFonts w:ascii="宋体" w:hAnsi="宋体" w:cs="宋体"/>
                <w:kern w:val="0"/>
                <w:sz w:val="20"/>
              </w:rPr>
            </w:pPr>
          </w:p>
        </w:tc>
        <w:tc>
          <w:tcPr>
            <w:tcW w:w="1266" w:type="dxa"/>
            <w:shd w:val="clear" w:color="auto" w:fill="FFFFFF"/>
            <w:noWrap/>
            <w:vAlign w:val="center"/>
          </w:tcPr>
          <w:p>
            <w:pPr>
              <w:widowControl/>
              <w:jc w:val="center"/>
              <w:rPr>
                <w:rFonts w:ascii="宋体" w:hAnsi="宋体" w:cs="宋体"/>
                <w:kern w:val="0"/>
                <w:sz w:val="20"/>
              </w:rPr>
            </w:pPr>
          </w:p>
        </w:tc>
        <w:tc>
          <w:tcPr>
            <w:tcW w:w="13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（二十）住房保障支出</w:t>
            </w:r>
          </w:p>
        </w:tc>
        <w:tc>
          <w:tcPr>
            <w:tcW w:w="126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11.65</w:t>
            </w:r>
          </w:p>
        </w:tc>
        <w:tc>
          <w:tcPr>
            <w:tcW w:w="126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11.65</w:t>
            </w:r>
          </w:p>
        </w:tc>
        <w:tc>
          <w:tcPr>
            <w:tcW w:w="13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（二十一）粮油物资储备支出</w:t>
            </w:r>
          </w:p>
        </w:tc>
        <w:tc>
          <w:tcPr>
            <w:tcW w:w="1266" w:type="dxa"/>
            <w:shd w:val="clear" w:color="auto" w:fill="FFFFFF"/>
            <w:noWrap/>
            <w:vAlign w:val="center"/>
          </w:tcPr>
          <w:p>
            <w:pPr>
              <w:widowControl/>
              <w:jc w:val="center"/>
              <w:rPr>
                <w:rFonts w:ascii="宋体" w:hAnsi="宋体" w:cs="宋体"/>
                <w:kern w:val="0"/>
                <w:sz w:val="20"/>
              </w:rPr>
            </w:pPr>
          </w:p>
        </w:tc>
        <w:tc>
          <w:tcPr>
            <w:tcW w:w="1266" w:type="dxa"/>
            <w:shd w:val="clear" w:color="auto" w:fill="FFFFFF"/>
            <w:noWrap/>
            <w:vAlign w:val="center"/>
          </w:tcPr>
          <w:p>
            <w:pPr>
              <w:widowControl/>
              <w:jc w:val="center"/>
              <w:rPr>
                <w:rFonts w:ascii="宋体" w:hAnsi="宋体" w:cs="宋体"/>
                <w:kern w:val="0"/>
                <w:sz w:val="20"/>
              </w:rPr>
            </w:pPr>
          </w:p>
        </w:tc>
        <w:tc>
          <w:tcPr>
            <w:tcW w:w="13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（二十二）国有资本经营预算支出</w:t>
            </w:r>
          </w:p>
        </w:tc>
        <w:tc>
          <w:tcPr>
            <w:tcW w:w="1266" w:type="dxa"/>
            <w:shd w:val="clear" w:color="auto" w:fill="FFFFFF"/>
            <w:noWrap/>
            <w:vAlign w:val="center"/>
          </w:tcPr>
          <w:p>
            <w:pPr>
              <w:widowControl/>
              <w:jc w:val="center"/>
              <w:rPr>
                <w:rFonts w:ascii="宋体" w:hAnsi="宋体" w:cs="宋体"/>
                <w:kern w:val="0"/>
                <w:sz w:val="20"/>
              </w:rPr>
            </w:pPr>
          </w:p>
        </w:tc>
        <w:tc>
          <w:tcPr>
            <w:tcW w:w="1266" w:type="dxa"/>
            <w:shd w:val="clear" w:color="auto" w:fill="FFFFFF"/>
            <w:noWrap/>
            <w:vAlign w:val="center"/>
          </w:tcPr>
          <w:p>
            <w:pPr>
              <w:widowControl/>
              <w:jc w:val="center"/>
              <w:rPr>
                <w:rFonts w:ascii="宋体" w:hAnsi="宋体" w:cs="宋体"/>
                <w:kern w:val="0"/>
                <w:sz w:val="20"/>
              </w:rPr>
            </w:pPr>
          </w:p>
        </w:tc>
        <w:tc>
          <w:tcPr>
            <w:tcW w:w="13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（二十三）灾害防治及应急管理支出</w:t>
            </w:r>
          </w:p>
        </w:tc>
        <w:tc>
          <w:tcPr>
            <w:tcW w:w="1266" w:type="dxa"/>
            <w:shd w:val="clear" w:color="auto" w:fill="FFFFFF"/>
            <w:noWrap/>
            <w:vAlign w:val="center"/>
          </w:tcPr>
          <w:p>
            <w:pPr>
              <w:widowControl/>
              <w:jc w:val="center"/>
              <w:rPr>
                <w:rFonts w:ascii="宋体" w:hAnsi="宋体" w:cs="宋体"/>
                <w:kern w:val="0"/>
                <w:sz w:val="20"/>
              </w:rPr>
            </w:pPr>
          </w:p>
        </w:tc>
        <w:tc>
          <w:tcPr>
            <w:tcW w:w="1266" w:type="dxa"/>
            <w:shd w:val="clear" w:color="auto" w:fill="FFFFFF"/>
            <w:noWrap/>
            <w:vAlign w:val="center"/>
          </w:tcPr>
          <w:p>
            <w:pPr>
              <w:widowControl/>
              <w:jc w:val="center"/>
              <w:rPr>
                <w:rFonts w:ascii="宋体" w:hAnsi="宋体" w:cs="宋体"/>
                <w:kern w:val="0"/>
                <w:sz w:val="20"/>
              </w:rPr>
            </w:pPr>
          </w:p>
        </w:tc>
        <w:tc>
          <w:tcPr>
            <w:tcW w:w="13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（二十四）预备费</w:t>
            </w:r>
          </w:p>
        </w:tc>
        <w:tc>
          <w:tcPr>
            <w:tcW w:w="1266" w:type="dxa"/>
            <w:shd w:val="clear" w:color="auto" w:fill="FFFFFF"/>
            <w:noWrap/>
            <w:vAlign w:val="center"/>
          </w:tcPr>
          <w:p>
            <w:pPr>
              <w:widowControl/>
              <w:jc w:val="center"/>
              <w:rPr>
                <w:rFonts w:ascii="宋体" w:hAnsi="宋体" w:cs="宋体"/>
                <w:kern w:val="0"/>
                <w:sz w:val="20"/>
              </w:rPr>
            </w:pPr>
          </w:p>
        </w:tc>
        <w:tc>
          <w:tcPr>
            <w:tcW w:w="1266" w:type="dxa"/>
            <w:shd w:val="clear" w:color="auto" w:fill="FFFFFF"/>
            <w:noWrap/>
            <w:vAlign w:val="center"/>
          </w:tcPr>
          <w:p>
            <w:pPr>
              <w:widowControl/>
              <w:jc w:val="center"/>
              <w:rPr>
                <w:rFonts w:ascii="宋体" w:hAnsi="宋体" w:cs="宋体"/>
                <w:kern w:val="0"/>
                <w:sz w:val="20"/>
              </w:rPr>
            </w:pPr>
          </w:p>
        </w:tc>
        <w:tc>
          <w:tcPr>
            <w:tcW w:w="13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（二十五）其他支出</w:t>
            </w:r>
          </w:p>
        </w:tc>
        <w:tc>
          <w:tcPr>
            <w:tcW w:w="1266" w:type="dxa"/>
            <w:shd w:val="clear" w:color="auto" w:fill="FFFFFF"/>
            <w:noWrap/>
            <w:vAlign w:val="center"/>
          </w:tcPr>
          <w:p>
            <w:pPr>
              <w:widowControl/>
              <w:jc w:val="center"/>
              <w:rPr>
                <w:rFonts w:ascii="宋体" w:hAnsi="宋体" w:cs="宋体"/>
                <w:kern w:val="0"/>
                <w:sz w:val="20"/>
              </w:rPr>
            </w:pPr>
          </w:p>
        </w:tc>
        <w:tc>
          <w:tcPr>
            <w:tcW w:w="1266" w:type="dxa"/>
            <w:shd w:val="clear" w:color="auto" w:fill="FFFFFF"/>
            <w:noWrap/>
            <w:vAlign w:val="center"/>
          </w:tcPr>
          <w:p>
            <w:pPr>
              <w:widowControl/>
              <w:jc w:val="center"/>
              <w:rPr>
                <w:rFonts w:ascii="宋体" w:hAnsi="宋体" w:cs="宋体"/>
                <w:kern w:val="0"/>
                <w:sz w:val="20"/>
              </w:rPr>
            </w:pPr>
          </w:p>
        </w:tc>
        <w:tc>
          <w:tcPr>
            <w:tcW w:w="13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（二十六）转移性支出</w:t>
            </w:r>
          </w:p>
        </w:tc>
        <w:tc>
          <w:tcPr>
            <w:tcW w:w="1266" w:type="dxa"/>
            <w:shd w:val="clear" w:color="auto" w:fill="FFFFFF"/>
            <w:noWrap/>
            <w:vAlign w:val="center"/>
          </w:tcPr>
          <w:p>
            <w:pPr>
              <w:widowControl/>
              <w:jc w:val="center"/>
              <w:rPr>
                <w:rFonts w:ascii="宋体" w:hAnsi="宋体" w:cs="宋体"/>
                <w:kern w:val="0"/>
                <w:sz w:val="20"/>
              </w:rPr>
            </w:pPr>
          </w:p>
        </w:tc>
        <w:tc>
          <w:tcPr>
            <w:tcW w:w="1266" w:type="dxa"/>
            <w:shd w:val="clear" w:color="auto" w:fill="FFFFFF"/>
            <w:noWrap/>
            <w:vAlign w:val="center"/>
          </w:tcPr>
          <w:p>
            <w:pPr>
              <w:widowControl/>
              <w:jc w:val="center"/>
              <w:rPr>
                <w:rFonts w:ascii="宋体" w:hAnsi="宋体" w:cs="宋体"/>
                <w:kern w:val="0"/>
                <w:sz w:val="20"/>
              </w:rPr>
            </w:pPr>
          </w:p>
        </w:tc>
        <w:tc>
          <w:tcPr>
            <w:tcW w:w="13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（二十七）债务还本支出</w:t>
            </w:r>
          </w:p>
        </w:tc>
        <w:tc>
          <w:tcPr>
            <w:tcW w:w="1266" w:type="dxa"/>
            <w:shd w:val="clear" w:color="auto" w:fill="FFFFFF"/>
            <w:noWrap/>
            <w:vAlign w:val="center"/>
          </w:tcPr>
          <w:p>
            <w:pPr>
              <w:widowControl/>
              <w:jc w:val="center"/>
              <w:rPr>
                <w:rFonts w:ascii="宋体" w:hAnsi="宋体" w:cs="宋体"/>
                <w:kern w:val="0"/>
                <w:sz w:val="20"/>
              </w:rPr>
            </w:pPr>
          </w:p>
        </w:tc>
        <w:tc>
          <w:tcPr>
            <w:tcW w:w="1266" w:type="dxa"/>
            <w:shd w:val="clear" w:color="auto" w:fill="FFFFFF"/>
            <w:noWrap/>
            <w:vAlign w:val="center"/>
          </w:tcPr>
          <w:p>
            <w:pPr>
              <w:widowControl/>
              <w:jc w:val="center"/>
              <w:rPr>
                <w:rFonts w:ascii="宋体" w:hAnsi="宋体" w:cs="宋体"/>
                <w:kern w:val="0"/>
                <w:sz w:val="20"/>
              </w:rPr>
            </w:pPr>
          </w:p>
        </w:tc>
        <w:tc>
          <w:tcPr>
            <w:tcW w:w="13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（二十八）债务付息支出</w:t>
            </w:r>
          </w:p>
        </w:tc>
        <w:tc>
          <w:tcPr>
            <w:tcW w:w="1266" w:type="dxa"/>
            <w:shd w:val="clear" w:color="auto" w:fill="FFFFFF"/>
            <w:noWrap/>
            <w:vAlign w:val="center"/>
          </w:tcPr>
          <w:p>
            <w:pPr>
              <w:widowControl/>
              <w:jc w:val="center"/>
              <w:rPr>
                <w:rFonts w:ascii="宋体" w:hAnsi="宋体" w:cs="宋体"/>
                <w:kern w:val="0"/>
                <w:sz w:val="20"/>
              </w:rPr>
            </w:pPr>
          </w:p>
        </w:tc>
        <w:tc>
          <w:tcPr>
            <w:tcW w:w="1266" w:type="dxa"/>
            <w:shd w:val="clear" w:color="auto" w:fill="FFFFFF"/>
            <w:noWrap/>
            <w:vAlign w:val="center"/>
          </w:tcPr>
          <w:p>
            <w:pPr>
              <w:widowControl/>
              <w:jc w:val="center"/>
              <w:rPr>
                <w:rFonts w:ascii="宋体" w:hAnsi="宋体" w:cs="宋体"/>
                <w:kern w:val="0"/>
                <w:sz w:val="20"/>
              </w:rPr>
            </w:pPr>
          </w:p>
        </w:tc>
        <w:tc>
          <w:tcPr>
            <w:tcW w:w="13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（二十九）债务发行费用支出</w:t>
            </w:r>
          </w:p>
        </w:tc>
        <w:tc>
          <w:tcPr>
            <w:tcW w:w="1266" w:type="dxa"/>
            <w:shd w:val="clear" w:color="auto" w:fill="FFFFFF"/>
            <w:noWrap/>
            <w:vAlign w:val="center"/>
          </w:tcPr>
          <w:p>
            <w:pPr>
              <w:widowControl/>
              <w:jc w:val="center"/>
              <w:rPr>
                <w:rFonts w:ascii="宋体" w:hAnsi="宋体" w:cs="宋体"/>
                <w:kern w:val="0"/>
                <w:sz w:val="20"/>
              </w:rPr>
            </w:pPr>
          </w:p>
        </w:tc>
        <w:tc>
          <w:tcPr>
            <w:tcW w:w="1266" w:type="dxa"/>
            <w:shd w:val="clear" w:color="auto" w:fill="FFFFFF"/>
            <w:noWrap/>
            <w:vAlign w:val="center"/>
          </w:tcPr>
          <w:p>
            <w:pPr>
              <w:widowControl/>
              <w:jc w:val="center"/>
              <w:rPr>
                <w:rFonts w:ascii="宋体" w:hAnsi="宋体" w:cs="宋体"/>
                <w:kern w:val="0"/>
                <w:sz w:val="20"/>
              </w:rPr>
            </w:pPr>
          </w:p>
        </w:tc>
        <w:tc>
          <w:tcPr>
            <w:tcW w:w="13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（三十）抗疫特别国债安排的支出</w:t>
            </w:r>
          </w:p>
        </w:tc>
        <w:tc>
          <w:tcPr>
            <w:tcW w:w="1266" w:type="dxa"/>
            <w:shd w:val="clear" w:color="auto" w:fill="FFFFFF"/>
            <w:noWrap/>
            <w:vAlign w:val="center"/>
          </w:tcPr>
          <w:p>
            <w:pPr>
              <w:widowControl/>
              <w:jc w:val="center"/>
              <w:rPr>
                <w:rFonts w:ascii="宋体" w:hAnsi="宋体" w:cs="宋体"/>
                <w:kern w:val="0"/>
                <w:sz w:val="20"/>
              </w:rPr>
            </w:pPr>
          </w:p>
        </w:tc>
        <w:tc>
          <w:tcPr>
            <w:tcW w:w="1266" w:type="dxa"/>
            <w:shd w:val="clear" w:color="auto" w:fill="FFFFFF"/>
            <w:noWrap/>
            <w:vAlign w:val="center"/>
          </w:tcPr>
          <w:p>
            <w:pPr>
              <w:widowControl/>
              <w:jc w:val="center"/>
              <w:rPr>
                <w:rFonts w:ascii="宋体" w:hAnsi="宋体" w:cs="宋体"/>
                <w:kern w:val="0"/>
                <w:sz w:val="20"/>
              </w:rPr>
            </w:pPr>
          </w:p>
        </w:tc>
        <w:tc>
          <w:tcPr>
            <w:tcW w:w="13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（三十一）往来性支出</w:t>
            </w:r>
          </w:p>
        </w:tc>
        <w:tc>
          <w:tcPr>
            <w:tcW w:w="1266" w:type="dxa"/>
            <w:shd w:val="clear" w:color="auto" w:fill="FFFFFF"/>
            <w:noWrap/>
            <w:vAlign w:val="center"/>
          </w:tcPr>
          <w:p>
            <w:pPr>
              <w:widowControl/>
              <w:jc w:val="center"/>
              <w:rPr>
                <w:rFonts w:ascii="宋体" w:hAnsi="宋体" w:cs="宋体"/>
                <w:kern w:val="0"/>
                <w:sz w:val="20"/>
              </w:rPr>
            </w:pPr>
          </w:p>
        </w:tc>
        <w:tc>
          <w:tcPr>
            <w:tcW w:w="1266" w:type="dxa"/>
            <w:shd w:val="clear" w:color="auto" w:fill="FFFFFF"/>
            <w:noWrap/>
            <w:vAlign w:val="center"/>
          </w:tcPr>
          <w:p>
            <w:pPr>
              <w:widowControl/>
              <w:jc w:val="center"/>
              <w:rPr>
                <w:rFonts w:ascii="宋体" w:hAnsi="宋体" w:cs="宋体"/>
                <w:kern w:val="0"/>
                <w:sz w:val="20"/>
              </w:rPr>
            </w:pPr>
          </w:p>
        </w:tc>
        <w:tc>
          <w:tcPr>
            <w:tcW w:w="13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二、上年结转</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二、结转下年</w:t>
            </w:r>
          </w:p>
        </w:tc>
        <w:tc>
          <w:tcPr>
            <w:tcW w:w="1266" w:type="dxa"/>
            <w:shd w:val="clear" w:color="auto" w:fill="FFFFFF"/>
            <w:noWrap/>
            <w:vAlign w:val="center"/>
          </w:tcPr>
          <w:p>
            <w:pPr>
              <w:widowControl/>
              <w:jc w:val="center"/>
              <w:rPr>
                <w:rFonts w:ascii="宋体" w:hAnsi="宋体" w:cs="宋体"/>
                <w:kern w:val="0"/>
                <w:sz w:val="20"/>
              </w:rPr>
            </w:pPr>
          </w:p>
        </w:tc>
        <w:tc>
          <w:tcPr>
            <w:tcW w:w="1266" w:type="dxa"/>
            <w:shd w:val="clear" w:color="auto" w:fill="FFFFFF"/>
            <w:noWrap/>
            <w:vAlign w:val="center"/>
          </w:tcPr>
          <w:p>
            <w:pPr>
              <w:widowControl/>
              <w:jc w:val="center"/>
              <w:rPr>
                <w:rFonts w:ascii="宋体" w:hAnsi="宋体" w:cs="宋体"/>
                <w:kern w:val="0"/>
                <w:sz w:val="20"/>
              </w:rPr>
            </w:pPr>
          </w:p>
        </w:tc>
        <w:tc>
          <w:tcPr>
            <w:tcW w:w="13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66" w:type="dxa"/>
            <w:shd w:val="clear" w:color="auto" w:fill="FFFFFF"/>
            <w:noWrap/>
            <w:vAlign w:val="center"/>
          </w:tcPr>
          <w:p>
            <w:pPr>
              <w:widowControl/>
              <w:jc w:val="center"/>
              <w:rPr>
                <w:rFonts w:ascii="宋体" w:hAnsi="宋体" w:cs="宋体"/>
                <w:kern w:val="0"/>
                <w:sz w:val="20"/>
              </w:rPr>
            </w:pPr>
          </w:p>
        </w:tc>
        <w:tc>
          <w:tcPr>
            <w:tcW w:w="1266" w:type="dxa"/>
            <w:shd w:val="clear" w:color="auto" w:fill="FFFFFF"/>
            <w:noWrap/>
            <w:vAlign w:val="center"/>
          </w:tcPr>
          <w:p>
            <w:pPr>
              <w:widowControl/>
              <w:jc w:val="center"/>
              <w:rPr>
                <w:rFonts w:ascii="宋体" w:hAnsi="宋体" w:cs="宋体"/>
                <w:kern w:val="0"/>
                <w:sz w:val="20"/>
              </w:rPr>
            </w:pPr>
          </w:p>
        </w:tc>
        <w:tc>
          <w:tcPr>
            <w:tcW w:w="13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66" w:type="dxa"/>
            <w:shd w:val="clear" w:color="auto" w:fill="FFFFFF"/>
            <w:noWrap/>
            <w:vAlign w:val="center"/>
          </w:tcPr>
          <w:p>
            <w:pPr>
              <w:widowControl/>
              <w:jc w:val="center"/>
              <w:rPr>
                <w:rFonts w:ascii="宋体" w:hAnsi="宋体" w:cs="宋体"/>
                <w:kern w:val="0"/>
                <w:sz w:val="20"/>
              </w:rPr>
            </w:pPr>
          </w:p>
        </w:tc>
        <w:tc>
          <w:tcPr>
            <w:tcW w:w="1266" w:type="dxa"/>
            <w:shd w:val="clear" w:color="auto" w:fill="FFFFFF"/>
            <w:noWrap/>
            <w:vAlign w:val="center"/>
          </w:tcPr>
          <w:p>
            <w:pPr>
              <w:widowControl/>
              <w:jc w:val="center"/>
              <w:rPr>
                <w:rFonts w:ascii="宋体" w:hAnsi="宋体" w:cs="宋体"/>
                <w:kern w:val="0"/>
                <w:sz w:val="20"/>
              </w:rPr>
            </w:pPr>
          </w:p>
        </w:tc>
        <w:tc>
          <w:tcPr>
            <w:tcW w:w="13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201.39</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支出总计</w:t>
            </w:r>
          </w:p>
        </w:tc>
        <w:tc>
          <w:tcPr>
            <w:tcW w:w="126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201.39</w:t>
            </w:r>
          </w:p>
        </w:tc>
        <w:tc>
          <w:tcPr>
            <w:tcW w:w="126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201.39</w:t>
            </w:r>
          </w:p>
        </w:tc>
        <w:tc>
          <w:tcPr>
            <w:tcW w:w="1387" w:type="dxa"/>
            <w:shd w:val="clear" w:color="auto" w:fill="FFFFFF"/>
            <w:noWrap/>
            <w:vAlign w:val="center"/>
          </w:tcPr>
          <w:p>
            <w:pPr>
              <w:widowControl/>
              <w:jc w:val="center"/>
              <w:rPr>
                <w:rFonts w:ascii="宋体" w:hAnsi="宋体" w:cs="宋体"/>
                <w:kern w:val="0"/>
                <w:sz w:val="20"/>
              </w:rPr>
            </w:pPr>
          </w:p>
        </w:tc>
      </w:tr>
    </w:tbl>
    <w:p>
      <w:r>
        <w:br w:type="page"/>
      </w:r>
    </w:p>
    <w:tbl>
      <w:tblPr>
        <w:tblStyle w:val="6"/>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13"/>
        <w:gridCol w:w="1449"/>
        <w:gridCol w:w="1449"/>
        <w:gridCol w:w="1449"/>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86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34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4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4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4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4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4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4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86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201.39</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196.39</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社会保障和就业支出　</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48.39</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48.39</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行政事业单位养老支出　</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47.86</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47.86</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36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机关事业单位基本养老保险缴费支出　</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12.78</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12.78</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06</w:t>
            </w:r>
          </w:p>
        </w:tc>
        <w:tc>
          <w:tcPr>
            <w:tcW w:w="36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机关事业单位职业年金缴费支出　</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6.39</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6.39</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6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其他行政事业单位养老支出　</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28.69</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28.69</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0.53</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0.53</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6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0.53</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0.53</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卫生健康支出　</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18.70</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18.70</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行政事业单位医疗　</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18.70</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18.70</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36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事业单位医疗　</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12.63</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12.63</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03</w:t>
            </w:r>
          </w:p>
        </w:tc>
        <w:tc>
          <w:tcPr>
            <w:tcW w:w="36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公务员医疗补助　</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6.07</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6.07</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农林水支出　</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122.64</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117.64</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水利　</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122.64</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117.64</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04</w:t>
            </w:r>
          </w:p>
        </w:tc>
        <w:tc>
          <w:tcPr>
            <w:tcW w:w="36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水利行业业务管理　</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122.64</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117.64</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住房保障支出　</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11.65</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11.65</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住房改革支出　</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11.65</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11.65</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6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住房公积金　</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11.65</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11.65</w:t>
            </w:r>
          </w:p>
        </w:tc>
        <w:tc>
          <w:tcPr>
            <w:tcW w:w="14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6"/>
        <w:tblW w:w="11245" w:type="dxa"/>
        <w:tblInd w:w="-1064" w:type="dxa"/>
        <w:tblLayout w:type="fixed"/>
        <w:tblCellMar>
          <w:top w:w="0" w:type="dxa"/>
          <w:left w:w="108" w:type="dxa"/>
          <w:bottom w:w="0" w:type="dxa"/>
          <w:right w:w="108" w:type="dxa"/>
        </w:tblCellMar>
      </w:tblPr>
      <w:tblGrid>
        <w:gridCol w:w="650"/>
        <w:gridCol w:w="650"/>
        <w:gridCol w:w="3050"/>
        <w:gridCol w:w="2298"/>
        <w:gridCol w:w="2298"/>
        <w:gridCol w:w="2299"/>
      </w:tblGrid>
      <w:tr>
        <w:tblPrEx>
          <w:tblCellMar>
            <w:top w:w="0" w:type="dxa"/>
            <w:left w:w="108" w:type="dxa"/>
            <w:bottom w:w="0" w:type="dxa"/>
            <w:right w:w="108" w:type="dxa"/>
          </w:tblCellMar>
        </w:tblPrEx>
        <w:trPr>
          <w:trHeight w:val="264" w:hRule="atLeast"/>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trPr>
        <w:tc>
          <w:tcPr>
            <w:tcW w:w="435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895"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2023年基本支出</w:t>
            </w:r>
          </w:p>
        </w:tc>
      </w:tr>
      <w:tr>
        <w:tblPrEx>
          <w:tblCellMar>
            <w:top w:w="0" w:type="dxa"/>
            <w:left w:w="108" w:type="dxa"/>
            <w:bottom w:w="0" w:type="dxa"/>
            <w:right w:w="108" w:type="dxa"/>
          </w:tblCellMar>
        </w:tblPrEx>
        <w:trPr>
          <w:trHeight w:val="330" w:hRule="atLeast"/>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05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9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9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9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0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2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2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2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trPr>
        <w:tc>
          <w:tcPr>
            <w:tcW w:w="4350" w:type="dxa"/>
            <w:gridSpan w:val="3"/>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196.39</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187.64</w:t>
            </w:r>
          </w:p>
        </w:tc>
        <w:tc>
          <w:tcPr>
            <w:tcW w:w="229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8.74</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301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30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工资福利支出</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151.26</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151.26</w:t>
            </w:r>
          </w:p>
        </w:tc>
        <w:tc>
          <w:tcPr>
            <w:tcW w:w="229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0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基本工资</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36.25</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36.25</w:t>
            </w:r>
          </w:p>
        </w:tc>
        <w:tc>
          <w:tcPr>
            <w:tcW w:w="229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0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津贴补贴</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39.56</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39.56</w:t>
            </w:r>
          </w:p>
        </w:tc>
        <w:tc>
          <w:tcPr>
            <w:tcW w:w="229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30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奖金</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33.09</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33.09</w:t>
            </w:r>
          </w:p>
        </w:tc>
        <w:tc>
          <w:tcPr>
            <w:tcW w:w="229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0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机关事业单位基本养老保险缴费</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12.78</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12.78</w:t>
            </w:r>
          </w:p>
        </w:tc>
        <w:tc>
          <w:tcPr>
            <w:tcW w:w="229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30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职业年金缴费</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6.39</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6.39</w:t>
            </w:r>
          </w:p>
        </w:tc>
        <w:tc>
          <w:tcPr>
            <w:tcW w:w="229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30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职工基本医疗保险缴费</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4.93</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4.93</w:t>
            </w:r>
          </w:p>
        </w:tc>
        <w:tc>
          <w:tcPr>
            <w:tcW w:w="229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0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公务员医疗补助缴费</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6.07</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6.07</w:t>
            </w:r>
          </w:p>
        </w:tc>
        <w:tc>
          <w:tcPr>
            <w:tcW w:w="229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30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其他社会保障缴费</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0.53</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0.53</w:t>
            </w:r>
          </w:p>
        </w:tc>
        <w:tc>
          <w:tcPr>
            <w:tcW w:w="229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30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住房公积金</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11.65</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11.65</w:t>
            </w:r>
          </w:p>
        </w:tc>
        <w:tc>
          <w:tcPr>
            <w:tcW w:w="229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302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30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商品和服务支出</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8.74</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9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8.74</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0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办公费</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0.18</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9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0.18</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30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水费</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0.12</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9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0.12</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30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电费</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0.12</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9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0.12</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0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邮电费</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0.30</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9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0.30</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0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取暖费</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0.60</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9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0.60</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0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差旅费</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0.24</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9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0.24</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30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公务接待费</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0.12</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9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0.12</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30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工会经费</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1.52</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9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1.52</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39</w:t>
            </w:r>
          </w:p>
        </w:tc>
        <w:tc>
          <w:tcPr>
            <w:tcW w:w="30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其他交通费用</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4.98</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9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4.98</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30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其他商品和服务支出</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0.57</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9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0.57</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303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30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对个人和家庭的补助</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36.38</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36.38</w:t>
            </w:r>
          </w:p>
        </w:tc>
        <w:tc>
          <w:tcPr>
            <w:tcW w:w="229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0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退休费</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27.00</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27.00</w:t>
            </w:r>
          </w:p>
        </w:tc>
        <w:tc>
          <w:tcPr>
            <w:tcW w:w="229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30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生活补助</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1.69</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1.69</w:t>
            </w:r>
          </w:p>
        </w:tc>
        <w:tc>
          <w:tcPr>
            <w:tcW w:w="229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0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医疗费补助</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7.70</w:t>
            </w:r>
          </w:p>
        </w:tc>
        <w:tc>
          <w:tcPr>
            <w:tcW w:w="229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7.70</w:t>
            </w:r>
          </w:p>
        </w:tc>
        <w:tc>
          <w:tcPr>
            <w:tcW w:w="229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bl>
    <w:p>
      <w:pPr>
        <w:rPr>
          <w:rFonts w:ascii="仿宋_GB2312" w:eastAsia="仿宋_GB2312"/>
          <w:sz w:val="10"/>
          <w:szCs w:val="32"/>
        </w:rPr>
      </w:pPr>
      <w:r>
        <w:rPr>
          <w:rFonts w:hint="eastAsia" w:ascii="仿宋_GB2312" w:eastAsia="仿宋_GB2312"/>
          <w:sz w:val="10"/>
          <w:szCs w:val="32"/>
        </w:rPr>
        <w:br w:type="page"/>
      </w:r>
    </w:p>
    <w:tbl>
      <w:tblPr>
        <w:tblStyle w:val="6"/>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62"/>
            <w:bookmarkEnd w:id="1"/>
            <w:bookmarkStart w:id="2" w:name="RANGE!A1:G6"/>
            <w:bookmarkEnd w:id="2"/>
            <w:bookmarkStart w:id="3" w:name="RANGE!A1:F15"/>
            <w:bookmarkEnd w:id="3"/>
            <w:r>
              <w:rPr>
                <w:rFonts w:hint="eastAsia" w:ascii="宋体" w:hAnsi="宋体" w:cs="宋体"/>
                <w:b/>
                <w:kern w:val="0"/>
                <w:sz w:val="18"/>
                <w:szCs w:val="18"/>
              </w:rPr>
              <w:t>部门公开表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2023年预算数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0.16</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0.16</w:t>
            </w: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0.12</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72"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0.12</w:t>
            </w:r>
          </w:p>
        </w:tc>
      </w:tr>
    </w:tbl>
    <w:p>
      <w:pPr>
        <w:rPr>
          <w:rFonts w:ascii="仿宋_GB2312" w:eastAsia="仿宋_GB2312"/>
          <w:sz w:val="32"/>
          <w:szCs w:val="32"/>
        </w:rPr>
      </w:pPr>
      <w:r>
        <w:rPr>
          <w:rFonts w:hint="eastAsia" w:ascii="仿宋_GB2312" w:eastAsia="仿宋_GB2312"/>
          <w:sz w:val="32"/>
          <w:szCs w:val="32"/>
        </w:rPr>
        <w:br w:type="page"/>
      </w:r>
    </w:p>
    <w:tbl>
      <w:tblPr>
        <w:tblStyle w:val="6"/>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ascii="宋体" w:hAnsi="宋体" w:cs="宋体"/>
                <w:b/>
                <w:bCs/>
                <w:kern w:val="0"/>
                <w:sz w:val="44"/>
                <w:szCs w:val="44"/>
              </w:rPr>
            </w:pPr>
            <w:r>
              <w:rPr>
                <w:rFonts w:hint="eastAsia" w:ascii="宋体" w:hAnsi="宋体" w:cs="宋体"/>
                <w:b/>
                <w:kern w:val="0"/>
                <w:sz w:val="18"/>
                <w:szCs w:val="18"/>
              </w:rPr>
              <w:t>部门公开表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ascii="仿宋_GB2312" w:eastAsia="仿宋_GB2312"/>
          <w:sz w:val="32"/>
          <w:szCs w:val="32"/>
        </w:rPr>
      </w:pPr>
      <w:r>
        <w:rPr>
          <w:rFonts w:hint="eastAsia" w:ascii="仿宋_GB2312" w:eastAsia="仿宋_GB2312"/>
          <w:sz w:val="32"/>
          <w:szCs w:val="32"/>
        </w:rPr>
        <w:t>（注：此表为空表）</w:t>
      </w:r>
    </w:p>
    <w:p>
      <w:pPr>
        <w:rPr>
          <w:rFonts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ascii="小标宋" w:eastAsia="小标宋"/>
          <w:b/>
          <w:color w:val="000000"/>
          <w:sz w:val="36"/>
          <w:szCs w:val="36"/>
        </w:rPr>
      </w:pPr>
      <w:bookmarkStart w:id="5" w:name="RANGE!A1:K13"/>
      <w:bookmarkEnd w:id="5"/>
      <w:r>
        <w:rPr>
          <w:rFonts w:hint="eastAsia" w:ascii="小标宋" w:eastAsia="小标宋"/>
          <w:b/>
          <w:color w:val="000000"/>
          <w:sz w:val="36"/>
          <w:szCs w:val="36"/>
        </w:rPr>
        <w:t>第三部分  部门预算情况说明</w:t>
      </w:r>
    </w:p>
    <w:p>
      <w:pPr>
        <w:ind w:firstLine="640" w:firstLineChars="200"/>
        <w:rPr>
          <w:rFonts w:ascii="黑体" w:hAnsi="宋体" w:eastAsia="黑体"/>
          <w:color w:val="000000"/>
          <w:sz w:val="32"/>
          <w:szCs w:val="32"/>
        </w:rPr>
      </w:pP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一、关于湟源县水利站2023年部门收支预算情况的总体说明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湟源县水利站所有收入和支出均纳入部门预算管理。收入包括：一般公共预算拨款收入201.39万元；支出包括：社会保障和就业支出48.39万元，卫生健康支出18.70万元，农林水支出122.64万元，住房保障支出11.65万元。湟源县水利站2023年收支总预算201.39万元</w:t>
      </w:r>
      <w:r>
        <w:rPr>
          <w:rFonts w:ascii="仿宋_GB2312" w:eastAsia="仿宋_GB2312"/>
          <w:sz w:val="32"/>
          <w:szCs w:val="32"/>
        </w:rPr>
        <w:t>。</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二、关于湟源县水利站2023年部门收入预算情况说明</w:t>
      </w:r>
    </w:p>
    <w:p>
      <w:pPr>
        <w:ind w:firstLine="640" w:firstLineChars="200"/>
        <w:rPr>
          <w:rFonts w:ascii="仿宋_GB2312" w:eastAsia="仿宋_GB2312"/>
          <w:sz w:val="32"/>
          <w:szCs w:val="32"/>
        </w:rPr>
      </w:pPr>
      <w:r>
        <w:rPr>
          <w:rFonts w:hint="eastAsia" w:ascii="仿宋_GB2312" w:eastAsia="仿宋_GB2312"/>
          <w:sz w:val="32"/>
          <w:szCs w:val="32"/>
        </w:rPr>
        <w:t>湟源县水利站2023年收入预算201.39万元，其中：一般公共预算拨款收入201.39万元，占100.00%。</w:t>
      </w:r>
    </w:p>
    <w:p>
      <w:pPr>
        <w:ind w:firstLine="640" w:firstLineChars="200"/>
        <w:rPr>
          <w:rFonts w:ascii="仿宋_GB2312" w:eastAsia="仿宋_GB2312"/>
          <w:sz w:val="32"/>
          <w:szCs w:val="32"/>
        </w:rPr>
      </w:pPr>
      <w:r>
        <w:rPr>
          <w:rFonts w:hint="eastAsia" w:ascii="仿宋_GB2312" w:eastAsia="仿宋_GB2312"/>
          <w:sz w:val="32"/>
          <w:szCs w:val="32"/>
        </w:rPr>
        <w:drawing>
          <wp:inline distT="0" distB="0" distL="114300" distR="114300">
            <wp:extent cx="4279265" cy="1968500"/>
            <wp:effectExtent l="0" t="0" r="635"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7"/>
                    <a:stretch>
                      <a:fillRect/>
                    </a:stretch>
                  </pic:blipFill>
                  <pic:spPr>
                    <a:xfrm>
                      <a:off x="0" y="0"/>
                      <a:ext cx="4279265" cy="1968500"/>
                    </a:xfrm>
                    <a:prstGeom prst="rect">
                      <a:avLst/>
                    </a:prstGeom>
                    <a:noFill/>
                    <a:ln>
                      <a:noFill/>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三、关于湟源县水利站2023年部门支出预算情况说明</w:t>
      </w:r>
    </w:p>
    <w:p>
      <w:pPr>
        <w:ind w:firstLine="645"/>
        <w:rPr>
          <w:rFonts w:ascii="仿宋_GB2312" w:eastAsia="仿宋_GB2312"/>
          <w:sz w:val="32"/>
          <w:szCs w:val="32"/>
        </w:rPr>
      </w:pPr>
      <w:r>
        <w:rPr>
          <w:rFonts w:hint="eastAsia" w:ascii="仿宋_GB2312" w:eastAsia="仿宋_GB2312"/>
          <w:sz w:val="32"/>
          <w:szCs w:val="32"/>
        </w:rPr>
        <w:t>湟源县水利站2023年支出预算201.39万元，其中：基本支出196.39万元，占97.52%；项目支出5.00万元，占2.48%。</w:t>
      </w:r>
    </w:p>
    <w:p>
      <w:pPr>
        <w:ind w:firstLine="645"/>
        <w:rPr>
          <w:rFonts w:ascii="仿宋_GB2312" w:eastAsia="仿宋_GB2312"/>
          <w:sz w:val="32"/>
          <w:szCs w:val="32"/>
        </w:rPr>
      </w:pPr>
      <w:r>
        <w:rPr>
          <w:rFonts w:ascii="仿宋_GB2312" w:eastAsia="仿宋_GB2312"/>
          <w:sz w:val="32"/>
          <w:szCs w:val="32"/>
        </w:rPr>
        <w:pict>
          <v:shape id="_x0000_i1025" o:spt="75" type="#_x0000_t75" style="height:156pt;width:339.6pt;" filled="f" o:preferrelative="t" stroked="f" coordsize="21600,21600">
            <v:path/>
            <v:fill on="f" focussize="0,0"/>
            <v:stroke on="f" joinstyle="miter"/>
            <v:imagedata r:id="rId8" o:title=""/>
            <o:lock v:ext="edit" aspectratio="t"/>
            <w10:wrap type="none"/>
            <w10:anchorlock/>
          </v:shape>
        </w:pic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四、关于湟源县水利站2023年财政拨款收支预算情况的总体说明</w:t>
      </w:r>
    </w:p>
    <w:p>
      <w:pPr>
        <w:ind w:firstLine="645"/>
        <w:rPr>
          <w:rFonts w:ascii="仿宋_GB2312" w:eastAsia="仿宋_GB2312"/>
          <w:sz w:val="32"/>
          <w:szCs w:val="32"/>
        </w:rPr>
      </w:pPr>
      <w:r>
        <w:rPr>
          <w:rFonts w:hint="eastAsia" w:ascii="仿宋_GB2312" w:eastAsia="仿宋_GB2312"/>
          <w:sz w:val="32"/>
          <w:szCs w:val="32"/>
        </w:rPr>
        <w:t>湟源县水利站2023年财政拨款收支总预算201.39万元，比上年增加6.42万元，主要是参公人员职级发生变动。收入包括：一般公共预算拨款收入201.39万元，上年结转0.00万元；政府性基金预算拨款收入0.00万元，上年结转0.00万元。支出包括： 社会保障和就业支出48.39万元， 卫生健康支出18.70万元， 农林水支出122.64万元， 住房保障支出11.65万元。</w:t>
      </w:r>
    </w:p>
    <w:p>
      <w:pPr>
        <w:ind w:firstLine="645"/>
        <w:rPr>
          <w:rFonts w:ascii="仿宋_GB2312" w:eastAsia="仿宋_GB2312"/>
          <w:sz w:val="32"/>
          <w:szCs w:val="32"/>
        </w:rPr>
      </w:pPr>
      <w:r>
        <w:rPr>
          <w:rFonts w:ascii="仿宋_GB2312" w:eastAsia="仿宋_GB2312"/>
          <w:sz w:val="32"/>
          <w:szCs w:val="32"/>
        </w:rPr>
        <w:pict>
          <v:shape id="_x0000_i1026" o:spt="75" type="#_x0000_t75" style="height:164.4pt;width:357.6pt;" filled="f" o:preferrelative="t" stroked="f" coordsize="21600,21600">
            <v:path/>
            <v:fill on="f" focussize="0,0"/>
            <v:stroke on="f" joinstyle="miter"/>
            <v:imagedata r:id="rId9" o:title=""/>
            <o:lock v:ext="edit" aspectratio="t"/>
            <w10:wrap type="none"/>
            <w10:anchorlock/>
          </v:shape>
        </w:pic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五、关于湟源县水利站2023年一般公共预算当年拨款情况说明</w:t>
      </w:r>
    </w:p>
    <w:p>
      <w:pPr>
        <w:ind w:firstLine="645"/>
        <w:rPr>
          <w:rFonts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ascii="仿宋_GB2312" w:eastAsia="仿宋_GB2312"/>
          <w:iCs/>
          <w:sz w:val="32"/>
          <w:szCs w:val="32"/>
        </w:rPr>
      </w:pPr>
      <w:r>
        <w:rPr>
          <w:rFonts w:hint="eastAsia" w:ascii="仿宋_GB2312" w:eastAsia="仿宋_GB2312"/>
          <w:sz w:val="32"/>
          <w:szCs w:val="32"/>
        </w:rPr>
        <w:t>湟源县水利站2023年一般公共预算当年拨款201.39万元,比上年增加6.42万元，主要是参公人员职级发生变动。</w:t>
      </w:r>
    </w:p>
    <w:p>
      <w:pPr>
        <w:ind w:firstLine="645"/>
        <w:rPr>
          <w:rFonts w:ascii="仿宋_GB2312" w:eastAsia="仿宋_GB2312"/>
          <w:iCs/>
          <w:sz w:val="32"/>
          <w:szCs w:val="32"/>
        </w:rPr>
      </w:pPr>
      <w:r>
        <w:rPr>
          <w:rFonts w:ascii="仿宋_GB2312" w:eastAsia="仿宋_GB2312"/>
          <w:iCs/>
          <w:sz w:val="32"/>
          <w:szCs w:val="32"/>
        </w:rPr>
        <w:pict>
          <v:shape id="_x0000_i1027" o:spt="75" type="#_x0000_t75" style="height:115.2pt;width:336pt;" filled="f" o:preferrelative="t" stroked="f" coordsize="21600,21600">
            <v:path/>
            <v:fill on="f" focussize="0,0"/>
            <v:stroke on="f" joinstyle="miter"/>
            <v:imagedata r:id="rId10" o:title=""/>
            <o:lock v:ext="edit" aspectratio="t"/>
            <w10:wrap type="none"/>
            <w10:anchorlock/>
          </v:shape>
        </w:pict>
      </w:r>
    </w:p>
    <w:p>
      <w:pPr>
        <w:ind w:firstLine="645"/>
        <w:rPr>
          <w:rFonts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ascii="仿宋_GB2312" w:eastAsia="仿宋_GB2312"/>
          <w:sz w:val="32"/>
          <w:szCs w:val="32"/>
        </w:rPr>
      </w:pPr>
      <w:r>
        <w:rPr>
          <w:rFonts w:hint="eastAsia" w:ascii="仿宋_GB2312" w:eastAsia="仿宋_GB2312"/>
          <w:sz w:val="32"/>
          <w:szCs w:val="32"/>
        </w:rPr>
        <w:t>社会保障和就业支出48.39万元，占24.03%；卫生健康支出18.70万元，占9.29%；农林水支出122.64万元，占60.90%；住房保障支出11.65万元，占5.78%。</w:t>
      </w:r>
    </w:p>
    <w:p>
      <w:pPr>
        <w:ind w:firstLine="645"/>
        <w:rPr>
          <w:rFonts w:ascii="仿宋_GB2312" w:eastAsia="仿宋_GB2312"/>
          <w:sz w:val="32"/>
          <w:szCs w:val="32"/>
        </w:rPr>
      </w:pPr>
      <w:r>
        <w:rPr>
          <w:rFonts w:ascii="仿宋_GB2312" w:eastAsia="仿宋_GB2312"/>
          <w:sz w:val="32"/>
          <w:szCs w:val="32"/>
        </w:rPr>
        <w:pict>
          <v:shape id="_x0000_i1028" o:spt="75" type="#_x0000_t75" style="height:156.6pt;width:340.8pt;" filled="f" o:preferrelative="t" stroked="f" coordsize="21600,21600">
            <v:path/>
            <v:fill on="f" focussize="0,0"/>
            <v:stroke on="f" joinstyle="miter"/>
            <v:imagedata r:id="rId11" o:title=""/>
            <o:lock v:ext="edit" aspectratio="t"/>
            <w10:wrap type="none"/>
            <w10:anchorlock/>
          </v:shape>
        </w:pict>
      </w:r>
    </w:p>
    <w:p>
      <w:pPr>
        <w:ind w:firstLine="645"/>
        <w:rPr>
          <w:rFonts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ascii="仿宋_GB2312" w:eastAsia="仿宋_GB2312"/>
          <w:sz w:val="32"/>
          <w:szCs w:val="32"/>
        </w:rPr>
      </w:pPr>
      <w:r>
        <w:rPr>
          <w:rFonts w:hint="eastAsia" w:ascii="仿宋_GB2312" w:eastAsia="仿宋_GB2312"/>
          <w:sz w:val="32"/>
          <w:szCs w:val="32"/>
        </w:rPr>
        <w:t>1、社会保障和就业支出（类）行政事业单位养老支出（款）机关事业单位基本养老保险缴费支出（项）2023年预算数为12.78万元，比上年增加1.41万元，增长12.40%。主要是养老基数上调。</w:t>
      </w:r>
    </w:p>
    <w:p>
      <w:pPr>
        <w:ind w:firstLine="645"/>
        <w:rPr>
          <w:rFonts w:ascii="仿宋_GB2312" w:eastAsia="仿宋_GB2312"/>
          <w:sz w:val="32"/>
          <w:szCs w:val="32"/>
        </w:rPr>
      </w:pPr>
      <w:r>
        <w:rPr>
          <w:rFonts w:hint="eastAsia" w:ascii="仿宋_GB2312" w:eastAsia="仿宋_GB2312"/>
          <w:sz w:val="32"/>
          <w:szCs w:val="32"/>
        </w:rPr>
        <w:t>2、社会保障和就业支出（类）行政事业单位养老支出（款）机关事业单位职业年金缴费支出（项）2023年预算数为6.39万元，比上年增加0.71万元，增长12.50%。主要是职业年</w:t>
      </w:r>
      <w:r>
        <w:rPr>
          <w:rFonts w:hint="eastAsia" w:ascii="仿宋_GB2312" w:eastAsia="仿宋_GB2312"/>
          <w:sz w:val="32"/>
          <w:szCs w:val="32"/>
          <w:highlight w:val="none"/>
        </w:rPr>
        <w:t>金</w:t>
      </w:r>
      <w:r>
        <w:rPr>
          <w:rFonts w:hint="eastAsia" w:ascii="仿宋_GB2312" w:eastAsia="仿宋_GB2312"/>
          <w:sz w:val="32"/>
          <w:szCs w:val="32"/>
          <w:highlight w:val="none"/>
          <w:lang w:val="en-US" w:eastAsia="zh-CN"/>
        </w:rPr>
        <w:t>基数</w:t>
      </w:r>
      <w:r>
        <w:rPr>
          <w:rFonts w:hint="eastAsia" w:ascii="仿宋_GB2312" w:eastAsia="仿宋_GB2312"/>
          <w:sz w:val="32"/>
          <w:szCs w:val="32"/>
        </w:rPr>
        <w:t>上调。</w:t>
      </w:r>
    </w:p>
    <w:p>
      <w:pPr>
        <w:ind w:firstLine="645"/>
        <w:rPr>
          <w:rFonts w:ascii="仿宋_GB2312" w:eastAsia="仿宋_GB2312"/>
          <w:sz w:val="32"/>
          <w:szCs w:val="32"/>
        </w:rPr>
      </w:pPr>
      <w:r>
        <w:rPr>
          <w:rFonts w:hint="eastAsia" w:ascii="仿宋_GB2312" w:eastAsia="仿宋_GB2312"/>
          <w:sz w:val="32"/>
          <w:szCs w:val="32"/>
        </w:rPr>
        <w:t>3、社会保障和就业支出（类）行政事业单位养老支出（款）其他行政事业单位养老支出（项）2023年预算数为28.69万元，比上年增加3.06万元，增长11.94%。主要是养老基数上调。</w:t>
      </w:r>
    </w:p>
    <w:p>
      <w:pPr>
        <w:ind w:firstLine="645"/>
        <w:rPr>
          <w:rFonts w:ascii="仿宋_GB2312" w:eastAsia="仿宋_GB2312"/>
          <w:sz w:val="32"/>
          <w:szCs w:val="32"/>
        </w:rPr>
      </w:pPr>
      <w:r>
        <w:rPr>
          <w:rFonts w:hint="eastAsia" w:ascii="仿宋_GB2312" w:eastAsia="仿宋_GB2312"/>
          <w:sz w:val="32"/>
          <w:szCs w:val="32"/>
        </w:rPr>
        <w:t>4、社会保障和就业支出（类）其他社会保障和就业支出（款）其他社会保障和就业支出（项）2023年预算数为0.53万元，比上年减少0.08万元，下降13.11%。主要是人员减少。</w:t>
      </w:r>
    </w:p>
    <w:p>
      <w:pPr>
        <w:ind w:firstLine="645"/>
        <w:rPr>
          <w:rFonts w:ascii="仿宋_GB2312" w:eastAsia="仿宋_GB2312"/>
          <w:sz w:val="32"/>
          <w:szCs w:val="32"/>
        </w:rPr>
      </w:pPr>
      <w:r>
        <w:rPr>
          <w:rFonts w:hint="eastAsia" w:ascii="仿宋_GB2312" w:eastAsia="仿宋_GB2312"/>
          <w:sz w:val="32"/>
          <w:szCs w:val="32"/>
        </w:rPr>
        <w:t>5、卫生健康支出（类）行政事业单位医疗（款）事业单位医疗（项）2023年预算数为12.63万元，比上年减少0.37万元，下降2.85%。主要是人员减少。</w:t>
      </w:r>
    </w:p>
    <w:p>
      <w:pPr>
        <w:ind w:firstLine="645"/>
        <w:rPr>
          <w:rFonts w:ascii="仿宋_GB2312" w:eastAsia="仿宋_GB2312"/>
          <w:sz w:val="32"/>
          <w:szCs w:val="32"/>
        </w:rPr>
      </w:pPr>
      <w:r>
        <w:rPr>
          <w:rFonts w:hint="eastAsia" w:ascii="仿宋_GB2312" w:eastAsia="仿宋_GB2312"/>
          <w:sz w:val="32"/>
          <w:szCs w:val="32"/>
        </w:rPr>
        <w:t>6、卫生健康支出（类）行政事业单位医疗（款）公务员医疗补助（项）2023年预算数为6.07万元，比上年减少0.94万元，下降13.41%。主要是人员减少。</w:t>
      </w:r>
    </w:p>
    <w:p>
      <w:pPr>
        <w:ind w:firstLine="645"/>
        <w:rPr>
          <w:rFonts w:ascii="仿宋_GB2312" w:eastAsia="仿宋_GB2312"/>
          <w:sz w:val="32"/>
          <w:szCs w:val="32"/>
        </w:rPr>
      </w:pPr>
      <w:r>
        <w:rPr>
          <w:rFonts w:hint="eastAsia" w:ascii="仿宋_GB2312" w:eastAsia="仿宋_GB2312"/>
          <w:sz w:val="32"/>
          <w:szCs w:val="32"/>
        </w:rPr>
        <w:t>7、农林水支出（类）水利（款）水利行业业务管理（项）2023年预算数为122.64万元，比上年增加1.49万元，增长1.23%。主要是人员减少。</w:t>
      </w:r>
    </w:p>
    <w:p>
      <w:pPr>
        <w:ind w:firstLine="645"/>
        <w:rPr>
          <w:rFonts w:ascii="仿宋_GB2312" w:eastAsia="仿宋_GB2312"/>
          <w:sz w:val="32"/>
          <w:szCs w:val="32"/>
        </w:rPr>
      </w:pPr>
      <w:r>
        <w:rPr>
          <w:rFonts w:hint="eastAsia" w:ascii="仿宋_GB2312" w:eastAsia="仿宋_GB2312"/>
          <w:sz w:val="32"/>
          <w:szCs w:val="32"/>
        </w:rPr>
        <w:t>8、住房保障支出（类）住房改革支出（款）住房公积金（项）2023年预算数为11.65万元，比上年增加1.13万元，增长10.74%。主要是公积金缴纳基数上调。</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rPr>
        <w:t>湟源县水利站2023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ascii="仿宋_GB2312" w:eastAsia="仿宋_GB2312"/>
          <w:sz w:val="32"/>
          <w:szCs w:val="32"/>
        </w:rPr>
      </w:pPr>
      <w:r>
        <w:rPr>
          <w:rFonts w:hint="eastAsia" w:ascii="仿宋_GB2312" w:eastAsia="仿宋_GB2312"/>
          <w:sz w:val="32"/>
          <w:szCs w:val="32"/>
        </w:rPr>
        <w:t>湟源县水利站2023年一般公共预算基本支出196.39万元，其中：</w:t>
      </w:r>
    </w:p>
    <w:p>
      <w:pPr>
        <w:ind w:firstLine="640" w:firstLineChars="200"/>
        <w:rPr>
          <w:rFonts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rPr>
        <w:t>187.64万元，主要包括：基本工资36.25万元、津贴补贴39.56万元、奖金33.09万元、机关事业单位基本养老保险缴费12.78万元、职业年金缴费6.39万元、职工基本医疗保险缴费4.93万元、公务员医疗补助缴费6.07万元、其他社会保障缴费0.53万元、住房公积金11.65万元、退休费27.00万元、生活补助1.69万元、医疗费补助7.70万元；</w:t>
      </w:r>
    </w:p>
    <w:p>
      <w:pPr>
        <w:ind w:firstLine="640" w:firstLineChars="200"/>
        <w:rPr>
          <w:rFonts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rPr>
        <w:t>8.74万元，主要包括：办公费0.18万元、水费0.12万元、电费0.12万元、邮电费0.30万元、取暖费0.60万元、差旅费0.24万元、公务接待费0.12万元、工会经费1.52万元、其他交通费用4.98万元、其他商品和服务支出0.57万元。</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rPr>
        <w:t>湟源县水利站2023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ascii="仿宋_GB2312" w:eastAsia="仿宋_GB2312"/>
          <w:sz w:val="32"/>
          <w:szCs w:val="32"/>
          <w:highlight w:val="none"/>
        </w:rPr>
      </w:pPr>
      <w:r>
        <w:rPr>
          <w:rFonts w:hint="eastAsia" w:ascii="仿宋_GB2312" w:eastAsia="仿宋_GB2312"/>
          <w:sz w:val="32"/>
          <w:szCs w:val="32"/>
        </w:rPr>
        <w:t>湟源县水利站2023年一般公共预算“三公”经费预算数为0.12万元，比上年减少0.04万元，其中：因公出国（境）费0.00万元，增加0.00万元；公务用车购置及运行费0.00万元，增加0.00万元；公务接待费0.12万元，减少0.04万元。2023年“三公”经费预算比上年减少主要</w:t>
      </w:r>
      <w:r>
        <w:rPr>
          <w:rFonts w:hint="eastAsia" w:ascii="仿宋_GB2312" w:eastAsia="仿宋_GB2312"/>
          <w:sz w:val="32"/>
          <w:szCs w:val="32"/>
          <w:highlight w:val="none"/>
        </w:rPr>
        <w:t>是</w:t>
      </w:r>
      <w:r>
        <w:rPr>
          <w:rFonts w:hint="eastAsia" w:ascii="仿宋_GB2312" w:eastAsia="仿宋_GB2312"/>
          <w:sz w:val="32"/>
          <w:szCs w:val="32"/>
          <w:highlight w:val="none"/>
          <w:lang w:val="en-US" w:eastAsia="zh-CN"/>
        </w:rPr>
        <w:t>响应“三公经费”核减政策</w:t>
      </w:r>
      <w:r>
        <w:rPr>
          <w:rFonts w:hint="eastAsia" w:ascii="仿宋_GB2312" w:eastAsia="仿宋_GB2312"/>
          <w:sz w:val="32"/>
          <w:szCs w:val="32"/>
          <w:highlight w:val="none"/>
        </w:rPr>
        <w:t>。</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rPr>
        <w:t>湟源县水利站2023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bookmarkStart w:id="6" w:name="_GoBack"/>
      <w:bookmarkEnd w:id="6"/>
    </w:p>
    <w:p>
      <w:pPr>
        <w:ind w:firstLine="640" w:firstLineChars="200"/>
        <w:rPr>
          <w:rFonts w:ascii="仿宋_GB2312" w:eastAsia="仿宋_GB2312"/>
          <w:sz w:val="32"/>
          <w:szCs w:val="32"/>
        </w:rPr>
      </w:pPr>
      <w:r>
        <w:rPr>
          <w:rFonts w:hint="eastAsia" w:ascii="仿宋_GB2312" w:eastAsia="仿宋_GB2312"/>
          <w:sz w:val="32"/>
          <w:szCs w:val="32"/>
        </w:rPr>
        <w:t>湟源县水利站2023年没有使用政府性基金预算拨款安排的支出。</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2023年湟源县水利站机关运行经费财政拨款预算8.74万元，比</w:t>
      </w:r>
      <w:r>
        <w:rPr>
          <w:rFonts w:hint="eastAsia" w:ascii="仿宋_GB2312" w:eastAsia="仿宋_GB2312"/>
          <w:sz w:val="32"/>
          <w:szCs w:val="32"/>
        </w:rPr>
        <w:t>上</w:t>
      </w:r>
      <w:r>
        <w:rPr>
          <w:rFonts w:hint="eastAsia" w:ascii="仿宋_GB2312" w:hAnsi="仿宋" w:eastAsia="仿宋_GB2312"/>
          <w:spacing w:val="-6"/>
          <w:kern w:val="2"/>
          <w:sz w:val="32"/>
          <w:szCs w:val="32"/>
          <w:lang w:val="en-US"/>
        </w:rPr>
        <w:t>年预算减少2.79万元，下降24.20%。主要是人员减少。</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2023年湟源县水利站各单位政府采购预算总额</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万元，其中：政府采购货物预算</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万元、政府采购工程预算</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万元、政府采购服务预算</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截至2023年2月底，湟源县水利站所属各预算单位共有车辆</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辆，其中，省级领导干部用车</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辆、厅级领导干部用车</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辆、一般公务用车</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辆、一般执法执勤用车</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辆、特种专业技术用车</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辆、其他用车</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辆。单价50万元以上通用设备</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台（套），单价100万元以上专用设备</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2023年湟源县水利站预算均实行绩效目标管理，涉及项目1个，预算金额5.00万元。</w:t>
      </w:r>
    </w:p>
    <w:p>
      <w:pPr>
        <w:rPr>
          <w:rFonts w:ascii="仿宋_GB2312" w:hAnsi="仿宋" w:eastAsia="仿宋_GB2312"/>
          <w:spacing w:val="-6"/>
          <w:kern w:val="2"/>
          <w:sz w:val="32"/>
          <w:szCs w:val="32"/>
          <w:lang w:val="en-US"/>
        </w:rPr>
      </w:pPr>
    </w:p>
    <w:p>
      <w:pPr>
        <w:widowControl/>
        <w:jc w:val="center"/>
        <w:textAlignment w:val="center"/>
        <w:rPr>
          <w:rFonts w:hint="eastAsia" w:ascii="黑体" w:hAnsi="宋体" w:eastAsia="黑体" w:cs="黑体"/>
          <w:b/>
          <w:bCs/>
          <w:color w:val="000000"/>
          <w:kern w:val="0"/>
          <w:sz w:val="32"/>
          <w:szCs w:val="32"/>
          <w:lang w:bidi="ar"/>
        </w:rPr>
      </w:pPr>
      <w:r>
        <w:rPr>
          <w:rFonts w:hint="eastAsia" w:ascii="黑体" w:hAnsi="宋体" w:eastAsia="黑体" w:cs="黑体"/>
          <w:b/>
          <w:bCs/>
          <w:color w:val="000000"/>
          <w:kern w:val="0"/>
          <w:sz w:val="32"/>
          <w:szCs w:val="32"/>
          <w:lang w:bidi="ar"/>
        </w:rPr>
        <w:br w:type="page"/>
      </w:r>
    </w:p>
    <w:tbl>
      <w:tblPr>
        <w:tblStyle w:val="6"/>
        <w:tblW w:w="9978" w:type="dxa"/>
        <w:tblInd w:w="-470" w:type="dxa"/>
        <w:tblLayout w:type="fixed"/>
        <w:tblCellMar>
          <w:top w:w="0" w:type="dxa"/>
          <w:left w:w="108" w:type="dxa"/>
          <w:bottom w:w="0" w:type="dxa"/>
          <w:right w:w="108" w:type="dxa"/>
        </w:tblCellMar>
      </w:tblPr>
      <w:tblGrid>
        <w:gridCol w:w="1223"/>
        <w:gridCol w:w="1088"/>
        <w:gridCol w:w="1545"/>
        <w:gridCol w:w="767"/>
        <w:gridCol w:w="766"/>
        <w:gridCol w:w="1767"/>
        <w:gridCol w:w="944"/>
        <w:gridCol w:w="923"/>
        <w:gridCol w:w="955"/>
      </w:tblGrid>
      <w:tr>
        <w:tblPrEx>
          <w:tblCellMar>
            <w:top w:w="0" w:type="dxa"/>
            <w:left w:w="108" w:type="dxa"/>
            <w:bottom w:w="0" w:type="dxa"/>
            <w:right w:w="108" w:type="dxa"/>
          </w:tblCellMar>
        </w:tblPrEx>
        <w:trPr>
          <w:trHeight w:val="420" w:hRule="atLeast"/>
        </w:trPr>
        <w:tc>
          <w:tcPr>
            <w:tcW w:w="9978" w:type="dxa"/>
            <w:gridSpan w:val="9"/>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lang w:bidi="ar"/>
              </w:rPr>
              <w:t xml:space="preserve"> 部门预算项目支出绩效目标公开表</w:t>
            </w:r>
          </w:p>
        </w:tc>
      </w:tr>
      <w:tr>
        <w:tblPrEx>
          <w:tblCellMar>
            <w:top w:w="0" w:type="dxa"/>
            <w:left w:w="108" w:type="dxa"/>
            <w:bottom w:w="0" w:type="dxa"/>
            <w:right w:w="108" w:type="dxa"/>
          </w:tblCellMar>
        </w:tblPrEx>
        <w:trPr>
          <w:trHeight w:val="280" w:hRule="atLeast"/>
        </w:trPr>
        <w:tc>
          <w:tcPr>
            <w:tcW w:w="3856" w:type="dxa"/>
            <w:gridSpan w:val="3"/>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预算年度：2023</w:t>
            </w:r>
          </w:p>
        </w:tc>
        <w:tc>
          <w:tcPr>
            <w:tcW w:w="767"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766"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1767"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944" w:type="dxa"/>
            <w:tcBorders>
              <w:top w:val="nil"/>
              <w:left w:val="nil"/>
              <w:bottom w:val="nil"/>
              <w:right w:val="nil"/>
            </w:tcBorders>
            <w:shd w:val="clear" w:color="auto" w:fill="auto"/>
            <w:vAlign w:val="center"/>
          </w:tcPr>
          <w:p>
            <w:pPr>
              <w:jc w:val="center"/>
              <w:rPr>
                <w:rFonts w:ascii="宋体" w:hAnsi="宋体" w:cs="宋体"/>
                <w:color w:val="000000"/>
                <w:sz w:val="18"/>
                <w:szCs w:val="18"/>
              </w:rPr>
            </w:pPr>
          </w:p>
        </w:tc>
        <w:tc>
          <w:tcPr>
            <w:tcW w:w="1878" w:type="dxa"/>
            <w:gridSpan w:val="2"/>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金额单位：万元</w:t>
            </w:r>
          </w:p>
        </w:tc>
      </w:tr>
      <w:tr>
        <w:tblPrEx>
          <w:tblCellMar>
            <w:top w:w="0" w:type="dxa"/>
            <w:left w:w="108" w:type="dxa"/>
            <w:bottom w:w="0" w:type="dxa"/>
            <w:right w:w="108" w:type="dxa"/>
          </w:tblCellMar>
        </w:tblPrEx>
        <w:trPr>
          <w:trHeight w:val="280" w:hRule="atLeast"/>
        </w:trPr>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项目名称</w:t>
            </w: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批复数</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绩效目标</w:t>
            </w:r>
          </w:p>
        </w:tc>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绩效指标性质</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绩效指标值</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绩效度量单位</w:t>
            </w:r>
          </w:p>
        </w:tc>
      </w:tr>
      <w:tr>
        <w:tblPrEx>
          <w:tblCellMar>
            <w:top w:w="0" w:type="dxa"/>
            <w:left w:w="108" w:type="dxa"/>
            <w:bottom w:w="0" w:type="dxa"/>
            <w:right w:w="108" w:type="dxa"/>
          </w:tblCellMar>
        </w:tblPrEx>
        <w:trPr>
          <w:trHeight w:val="280" w:hRule="atLeast"/>
        </w:trPr>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一级指标</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二级指标</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三级指标</w:t>
            </w: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560" w:hRule="atLeast"/>
        </w:trPr>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工作经费</w:t>
            </w: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5.00</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站内日常工作经费</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数量指标</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站内日常工作经费</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元/年</w:t>
            </w:r>
          </w:p>
        </w:tc>
      </w:tr>
      <w:tr>
        <w:tblPrEx>
          <w:tblCellMar>
            <w:top w:w="0" w:type="dxa"/>
            <w:left w:w="108" w:type="dxa"/>
            <w:bottom w:w="0" w:type="dxa"/>
            <w:right w:w="108" w:type="dxa"/>
          </w:tblCellMar>
        </w:tblPrEx>
        <w:trPr>
          <w:trHeight w:val="560" w:hRule="atLeast"/>
        </w:trPr>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经济效益指标</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站内日常工作经费</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元/年</w:t>
            </w:r>
          </w:p>
        </w:tc>
      </w:tr>
      <w:tr>
        <w:tblPrEx>
          <w:tblCellMar>
            <w:top w:w="0" w:type="dxa"/>
            <w:left w:w="108" w:type="dxa"/>
            <w:bottom w:w="0" w:type="dxa"/>
            <w:right w:w="108" w:type="dxa"/>
          </w:tblCellMar>
        </w:tblPrEx>
        <w:trPr>
          <w:trHeight w:val="840" w:hRule="atLeast"/>
        </w:trPr>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服务对象满意度指标</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站内日常工作经费</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元/年</w:t>
            </w:r>
          </w:p>
        </w:tc>
      </w:tr>
    </w:tbl>
    <w:p>
      <w:pPr>
        <w:jc w:val="center"/>
        <w:rPr>
          <w:rFonts w:ascii="仿宋_GB2312" w:eastAsia="仿宋_GB2312"/>
          <w:b/>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其中：一般公共预算拨款收入包括财政部门经费拨款、专项收入、行政事业性收费收入、罚没收入、国有资源（资产）有偿使用收入和其他收入。</w:t>
      </w:r>
    </w:p>
    <w:p>
      <w:pPr>
        <w:ind w:firstLine="640" w:firstLineChars="200"/>
        <w:rPr>
          <w:rFonts w:ascii="宋体" w:hAnsi="宋体"/>
          <w:b/>
          <w:sz w:val="32"/>
          <w:szCs w:val="32"/>
        </w:rPr>
      </w:pPr>
      <w:r>
        <w:rPr>
          <w:rFonts w:hint="eastAsia" w:ascii="黑体" w:hAnsi="宋体" w:eastAsia="黑体"/>
          <w:color w:val="000000"/>
          <w:sz w:val="32"/>
          <w:szCs w:val="32"/>
        </w:rPr>
        <w:t>二、支出类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（三）一般公共预算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rPr>
        <w:t>部门</w:t>
      </w:r>
      <w:r>
        <w:rPr>
          <w:rFonts w:ascii="仿宋_GB2312" w:eastAsia="仿宋_GB2312"/>
          <w:sz w:val="32"/>
          <w:szCs w:val="32"/>
        </w:rPr>
        <w:t>按规定开支的各类公务接待（含外宾接待）支出。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（四）</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rPr>
        <w:t>部门</w:t>
      </w:r>
      <w:r>
        <w:rPr>
          <w:rFonts w:ascii="仿宋_GB2312" w:eastAsia="仿宋_GB2312"/>
          <w:sz w:val="32"/>
          <w:szCs w:val="32"/>
        </w:rPr>
        <w:t>（含参照公务员法管理的事业</w:t>
      </w:r>
      <w:r>
        <w:rPr>
          <w:rFonts w:hint="eastAsia" w:ascii="仿宋_GB2312" w:eastAsia="仿宋_GB2312"/>
          <w:sz w:val="32"/>
          <w:szCs w:val="32"/>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三、支出科目类</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（一）社会保障和就业支出（类）行政事业单位养老支出（款）机关事业单位基本养老保险缴费支出（项）：</w:t>
      </w:r>
      <w:r>
        <w:rPr>
          <w:rFonts w:hint="eastAsia" w:ascii="仿宋_GB2312" w:hAnsi="仿宋" w:eastAsia="仿宋_GB2312"/>
          <w:bCs/>
          <w:spacing w:val="-6"/>
          <w:sz w:val="32"/>
          <w:szCs w:val="32"/>
        </w:rPr>
        <w:t>反映机关事业单位实施养老保险制度由单位缴纳的基本养老保险费支出。</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（二）社会保障和就业支出（类）行政事业单位养老支出（款）机关事业单位职业年金缴费支出（项）:</w:t>
      </w:r>
      <w:r>
        <w:rPr>
          <w:rFonts w:hint="eastAsia" w:ascii="仿宋_GB2312" w:hAnsi="仿宋" w:eastAsia="仿宋_GB2312"/>
          <w:bCs/>
          <w:spacing w:val="-6"/>
          <w:sz w:val="32"/>
          <w:szCs w:val="32"/>
        </w:rPr>
        <w:t>反映机关事业单位实施养老保险制度由单位实际缴纳的职业年金支出。</w:t>
      </w:r>
    </w:p>
    <w:p>
      <w:pPr>
        <w:ind w:firstLine="619" w:firstLineChars="200"/>
        <w:rPr>
          <w:rFonts w:ascii="仿宋_GB2312" w:hAnsi="仿宋" w:eastAsia="仿宋_GB2312"/>
          <w:bCs/>
          <w:spacing w:val="-6"/>
          <w:sz w:val="32"/>
          <w:szCs w:val="32"/>
        </w:rPr>
      </w:pPr>
      <w:r>
        <w:rPr>
          <w:rFonts w:hint="eastAsia" w:ascii="仿宋_GB2312" w:hAnsi="仿宋" w:eastAsia="仿宋_GB2312"/>
          <w:b/>
          <w:spacing w:val="-6"/>
          <w:sz w:val="32"/>
          <w:szCs w:val="32"/>
        </w:rPr>
        <w:t>（三）社会保障和就业支出（类）行政事业单位养老支出（款）其他行政事业单位养老支出（项）:</w:t>
      </w:r>
      <w:r>
        <w:rPr>
          <w:rFonts w:hint="eastAsia" w:ascii="仿宋_GB2312" w:hAnsi="仿宋" w:eastAsia="仿宋_GB2312"/>
          <w:bCs/>
          <w:spacing w:val="-6"/>
          <w:sz w:val="32"/>
          <w:szCs w:val="32"/>
        </w:rPr>
        <w:t>反映除上述项目以外其他用于行政事业单位养老方面的支出。</w:t>
      </w:r>
    </w:p>
    <w:p>
      <w:pPr>
        <w:ind w:firstLine="619" w:firstLineChars="200"/>
        <w:rPr>
          <w:rFonts w:ascii="仿宋_GB2312" w:hAnsi="仿宋" w:eastAsia="仿宋_GB2312"/>
          <w:bCs/>
          <w:spacing w:val="-6"/>
          <w:sz w:val="32"/>
          <w:szCs w:val="32"/>
        </w:rPr>
      </w:pPr>
      <w:r>
        <w:rPr>
          <w:rFonts w:hint="eastAsia" w:ascii="仿宋_GB2312" w:hAnsi="仿宋" w:eastAsia="仿宋_GB2312"/>
          <w:b/>
          <w:spacing w:val="-6"/>
          <w:sz w:val="32"/>
          <w:szCs w:val="32"/>
        </w:rPr>
        <w:t>（四）社会保障和就业支出（类）其他社会保障和就业支出（款）其他社会保障和就业支出（项）:</w:t>
      </w:r>
      <w:r>
        <w:rPr>
          <w:rFonts w:hint="eastAsia" w:ascii="仿宋_GB2312" w:hAnsi="仿宋" w:eastAsia="仿宋_GB2312"/>
          <w:bCs/>
          <w:spacing w:val="-6"/>
          <w:sz w:val="32"/>
          <w:szCs w:val="32"/>
        </w:rPr>
        <w:t>反映除上述项目以外其他用于社会保障和就业方面的支出。</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（五）卫生健康支出（类）行政事业单位医疗（款）事业单位医疗（项）：</w:t>
      </w:r>
      <w:r>
        <w:rPr>
          <w:rFonts w:hint="eastAsia" w:ascii="仿宋_GB2312" w:hAnsi="仿宋" w:eastAsia="仿宋_GB2312"/>
          <w:bCs/>
          <w:spacing w:val="-6"/>
          <w:sz w:val="32"/>
          <w:szCs w:val="32"/>
        </w:rPr>
        <w:t>反映财政部门安排的事业单位基本医疗保险缴费经费，未参加医疗保险的事业单位的公费医疗经费，按国家规定享受离休人员待遇的医疗经费。</w:t>
      </w:r>
    </w:p>
    <w:p>
      <w:pPr>
        <w:ind w:firstLine="619" w:firstLineChars="200"/>
        <w:rPr>
          <w:rFonts w:ascii="仿宋_GB2312" w:hAnsi="仿宋" w:eastAsia="仿宋_GB2312"/>
          <w:bCs/>
          <w:spacing w:val="-6"/>
          <w:sz w:val="32"/>
          <w:szCs w:val="32"/>
        </w:rPr>
      </w:pPr>
      <w:r>
        <w:rPr>
          <w:rFonts w:hint="eastAsia" w:ascii="仿宋_GB2312" w:hAnsi="仿宋" w:eastAsia="仿宋_GB2312"/>
          <w:b/>
          <w:spacing w:val="-6"/>
          <w:sz w:val="32"/>
          <w:szCs w:val="32"/>
        </w:rPr>
        <w:t>（六）卫生健康支出（类）行政事业单位医疗（款）公务员医疗补助（项）：</w:t>
      </w:r>
      <w:r>
        <w:rPr>
          <w:rFonts w:hint="eastAsia" w:ascii="仿宋_GB2312" w:hAnsi="仿宋" w:eastAsia="仿宋_GB2312"/>
          <w:bCs/>
          <w:spacing w:val="-6"/>
          <w:sz w:val="32"/>
          <w:szCs w:val="32"/>
        </w:rPr>
        <w:t>反映财政部门安排的公务员医疗补助经费。</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（七）农林水支出（类）水利（款）水利行业业务管理（项）：</w:t>
      </w:r>
      <w:r>
        <w:rPr>
          <w:rFonts w:hint="eastAsia" w:ascii="仿宋_GB2312" w:hAnsi="仿宋" w:eastAsia="仿宋_GB2312"/>
          <w:bCs/>
          <w:spacing w:val="-6"/>
          <w:sz w:val="32"/>
          <w:szCs w:val="32"/>
        </w:rPr>
        <w:t>反映用于水利行业业务管理方面的支出。有关业务包括制定政策、法规及行业标准、规程规范、进行水利宣传、审计监督检查、精神文明建设以及农田水利管理、水利重大活动、水利工程质量监督、水利资金监督管理、水利国有资产监管、行政许可及监督管理等。</w:t>
      </w:r>
    </w:p>
    <w:p>
      <w:pPr>
        <w:ind w:firstLine="619" w:firstLineChars="200"/>
        <w:rPr>
          <w:rFonts w:ascii="仿宋_GB2312" w:hAnsi="仿宋" w:eastAsia="仿宋_GB2312"/>
          <w:bCs/>
          <w:spacing w:val="-6"/>
          <w:sz w:val="32"/>
          <w:szCs w:val="32"/>
        </w:rPr>
      </w:pPr>
      <w:r>
        <w:rPr>
          <w:rFonts w:hint="eastAsia" w:ascii="仿宋_GB2312" w:hAnsi="仿宋" w:eastAsia="仿宋_GB2312"/>
          <w:b/>
          <w:spacing w:val="-6"/>
          <w:sz w:val="32"/>
          <w:szCs w:val="32"/>
        </w:rPr>
        <w:t>（八）住房保障支出（类）住房改革支出（款）住房公积金（项）：</w:t>
      </w:r>
      <w:r>
        <w:rPr>
          <w:rFonts w:hint="eastAsia" w:ascii="仿宋_GB2312" w:hAnsi="仿宋" w:eastAsia="仿宋_GB2312"/>
          <w:bCs/>
          <w:spacing w:val="-6"/>
          <w:sz w:val="32"/>
          <w:szCs w:val="32"/>
        </w:rPr>
        <w:t>反映行政事业单位按人力资源和社会保障部、财政部规定的基本工资和津贴补贴以及规定比例为职工缴纳的住房公积金。</w:t>
      </w:r>
    </w:p>
    <w:p>
      <w:pPr>
        <w:ind w:firstLine="640" w:firstLineChars="200"/>
        <w:rPr>
          <w:rFonts w:ascii="黑体" w:hAnsi="黑体" w:eastAsia="黑体"/>
          <w:sz w:val="32"/>
          <w:szCs w:val="32"/>
        </w:rPr>
      </w:pPr>
      <w:r>
        <w:rPr>
          <w:rFonts w:hint="eastAsia" w:ascii="黑体" w:hAnsi="黑体" w:eastAsia="黑体"/>
          <w:sz w:val="32"/>
          <w:szCs w:val="32"/>
        </w:rPr>
        <w:t>四、部门专业类名词</w:t>
      </w:r>
    </w:p>
    <w:p>
      <w:pPr>
        <w:adjustRightInd w:val="0"/>
        <w:snapToGrid w:val="0"/>
        <w:spacing w:line="560" w:lineRule="exact"/>
        <w:ind w:firstLine="640" w:firstLineChars="200"/>
      </w:pPr>
      <w:r>
        <w:rPr>
          <w:rFonts w:hint="eastAsia" w:ascii="仿宋_GB2312" w:eastAsia="仿宋_GB2312"/>
          <w:sz w:val="32"/>
          <w:szCs w:val="32"/>
        </w:rPr>
        <w:t>无。</w:t>
      </w:r>
    </w:p>
    <w:sectPr>
      <w:headerReference r:id="rId3" w:type="default"/>
      <w:footerReference r:id="rId4" w:type="default"/>
      <w:footerReference r:id="rId5" w:type="even"/>
      <w:pgSz w:w="11906" w:h="16838"/>
      <w:pgMar w:top="1440" w:right="1531" w:bottom="1440"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15</w:t>
    </w:r>
    <w:r>
      <w:rPr>
        <w:rStyle w:val="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14216"/>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035BA"/>
    <w:rsid w:val="00112781"/>
    <w:rsid w:val="00113D0A"/>
    <w:rsid w:val="00120F6C"/>
    <w:rsid w:val="00125BF5"/>
    <w:rsid w:val="00132BE0"/>
    <w:rsid w:val="00144223"/>
    <w:rsid w:val="00144744"/>
    <w:rsid w:val="00146FBE"/>
    <w:rsid w:val="00151EBE"/>
    <w:rsid w:val="001641F0"/>
    <w:rsid w:val="00172A27"/>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196D"/>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82B6A"/>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C580C"/>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17D5"/>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44A8C"/>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3323C"/>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598"/>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5315E"/>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77AD8"/>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6D06E9"/>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3E49E9"/>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5C773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AE60B6"/>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CF861DE"/>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100" w:beforeAutospacing="1" w:after="100" w:afterAutospacing="1"/>
      <w:outlineLvl w:val="0"/>
    </w:pPr>
    <w:rPr>
      <w:rFonts w:ascii="宋体" w:hAnsi="宋体" w:eastAsia="宋体" w:cs="宋体"/>
      <w:b/>
      <w:bCs/>
      <w:kern w:val="36"/>
      <w:sz w:val="48"/>
      <w:szCs w:val="48"/>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字符"/>
    <w:link w:val="3"/>
    <w:semiHidden/>
    <w:qFormat/>
    <w:uiPriority w:val="99"/>
    <w:rPr>
      <w:rFonts w:ascii="Times New Roman" w:hAnsi="Times New Roman"/>
      <w:kern w:val="2"/>
      <w:sz w:val="18"/>
      <w:szCs w:val="18"/>
    </w:rPr>
  </w:style>
  <w:style w:type="character" w:customStyle="1" w:styleId="10">
    <w:name w:val="页脚 字符"/>
    <w:link w:val="4"/>
    <w:qFormat/>
    <w:uiPriority w:val="99"/>
    <w:rPr>
      <w:rFonts w:ascii="Times New Roman" w:hAnsi="Times New Roman"/>
      <w:kern w:val="2"/>
      <w:sz w:val="18"/>
      <w:szCs w:val="18"/>
    </w:rPr>
  </w:style>
  <w:style w:type="character" w:customStyle="1" w:styleId="11">
    <w:name w:val="页眉 字符"/>
    <w:link w:val="5"/>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0"/>
    <w:rPr>
      <w:rFonts w:ascii="Calibri" w:hAnsi="Calibri" w:eastAsia="宋体" w:cs="Times New Roman"/>
      <w:sz w:val="22"/>
      <w:szCs w:val="22"/>
      <w:lang w:val="en-US" w:eastAsia="zh-CN" w:bidi="ar-SA"/>
    </w:rPr>
  </w:style>
  <w:style w:type="character" w:customStyle="1" w:styleId="14">
    <w:name w:val="无间隔 字符"/>
    <w:link w:val="13"/>
    <w:qFormat/>
    <w:uiPriority w:val="0"/>
    <w:rPr>
      <w:sz w:val="22"/>
      <w:szCs w:val="22"/>
      <w:lang w:bidi="ar-SA"/>
    </w:rPr>
  </w:style>
  <w:style w:type="paragraph" w:customStyle="1" w:styleId="15">
    <w:name w:val="正文1"/>
    <w:basedOn w:val="1"/>
    <w:qFormat/>
    <w:uiPriority w:val="0"/>
    <w:pPr>
      <w:widowControl/>
    </w:pPr>
    <w:rPr>
      <w:rFonts w:eastAsia="Times New Roman"/>
      <w:kern w:val="0"/>
      <w:lang w:val="zh-CN"/>
    </w:rPr>
  </w:style>
  <w:style w:type="character" w:customStyle="1" w:styleId="16">
    <w:name w:val="font7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5776</Words>
  <Characters>7026</Characters>
  <Lines>59</Lines>
  <Paragraphs>16</Paragraphs>
  <TotalTime>0</TotalTime>
  <ScaleCrop>false</ScaleCrop>
  <LinksUpToDate>false</LinksUpToDate>
  <CharactersWithSpaces>7128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2023-06-08T07:44:13Z</dcterms:modified>
  <dc:title>×××部门</dc:title>
  <cp:revision>399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718A6823B81C4D58A8BAFE7161834163_13</vt:lpwstr>
  </property>
</Properties>
</file>