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6"/>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6"/>
              <w:jc w:val="center"/>
              <w:rPr>
                <w:rFonts w:ascii="Cambria" w:hAnsi="Cambria"/>
                <w:b/>
                <w:sz w:val="80"/>
                <w:szCs w:val="80"/>
              </w:rPr>
            </w:pPr>
            <w:r>
              <w:rPr>
                <w:rFonts w:hint="eastAsia" w:ascii="Cambria" w:hAnsi="Cambria"/>
                <w:b/>
                <w:sz w:val="80"/>
                <w:szCs w:val="80"/>
              </w:rPr>
              <w:t>湟源县司法局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6"/>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6"/>
              <w:jc w:val="center"/>
            </w:pPr>
          </w:p>
        </w:tc>
      </w:tr>
    </w:tbl>
    <w:p/>
    <w:tbl>
      <w:tblPr>
        <w:tblStyle w:val="9"/>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6"/>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（一）贯彻执行国家和省、市、县有关司法行政的方针政策和法律法规；拟订司法行政工作发展规划并组织实施。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全面承担依法治县重大问题的政策研究，协调有关方面提出全面依法治县长期规划建议，负责有关重大决策部署督查工作。组织开展政府法制理论、政府法治建设工作研究和宣传，调查研究依法行政和法治政府建设中出现的新情况、新问题，提出推进依法行政的具体措施和工作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（三）承担统筹推进法治政府建设的责任。拟订全县法制政府建设总体规划；承担政府法制培训任务；指导、监督各乡镇人民政府、县政府各部门依法行政，负责依法行政工作的规划、考核和实施工作。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(四)负责县政府行政规范性文件的合法性审查工作。负责行政规范性文件的备案审查工作。组织开展行政规范性文件的清理工作。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（五）负责综合协调行政执法，承担推进行政执法体制改革的有关工作，推进严格规范公正文明执法。</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（六）拟定法制宣传规划和依法治理工作纲要并组织实施。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（七）负责公共法律服务体系建设规划的实施，负责基层司法所建设、人民调解、社区矫正、基层法律服务和安置帮教工作。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（八）负责指导和监督律师、公证和法律援助工作并承担相应的职责，指导法律顾问工作。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(九)完成县委、县政府交办的其他任务。</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其中下设综合室、公共法律服务室、法治综合工作室、社区矫正管理室、公共法律服务管理室（法律援助中心）、9个乡镇司法所及1个公证处。</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hint="eastAsia"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湟源县司法局</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年部门预算编制范围的二级预算单位包括：</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ascii="仿宋_GB2312" w:eastAsia="仿宋_GB2312"/>
          <w:color w:val="000000"/>
          <w:sz w:val="30"/>
          <w:szCs w:val="30"/>
        </w:rPr>
      </w:pPr>
      <w:r>
        <w:rPr>
          <w:rFonts w:ascii="仿宋_GB2312" w:eastAsia="仿宋_GB2312"/>
          <w:color w:val="000000"/>
          <w:sz w:val="30"/>
          <w:szCs w:val="30"/>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9"/>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1292.51</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975.11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174.12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81.06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62.24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1292.51</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1292.53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0.02</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1292.53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1292.53</w:t>
            </w:r>
          </w:p>
        </w:tc>
      </w:tr>
    </w:tbl>
    <w:p>
      <w:pPr>
        <w:rPr>
          <w:rFonts w:ascii="仿宋_GB2312" w:eastAsia="仿宋_GB2312"/>
          <w:sz w:val="32"/>
          <w:szCs w:val="32"/>
        </w:rPr>
      </w:pPr>
    </w:p>
    <w:tbl>
      <w:tblPr>
        <w:tblStyle w:val="9"/>
        <w:tblpPr w:leftFromText="180" w:rightFromText="180" w:vertAnchor="text" w:horzAnchor="page" w:tblpXSpec="center" w:tblpY="618"/>
        <w:tblOverlap w:val="never"/>
        <w:tblW w:w="11531" w:type="dxa"/>
        <w:jc w:val="center"/>
        <w:tblLayout w:type="fixed"/>
        <w:tblCellMar>
          <w:top w:w="0" w:type="dxa"/>
          <w:left w:w="108" w:type="dxa"/>
          <w:bottom w:w="0" w:type="dxa"/>
          <w:right w:w="108" w:type="dxa"/>
        </w:tblCellMar>
      </w:tblPr>
      <w:tblGrid>
        <w:gridCol w:w="1091"/>
        <w:gridCol w:w="1087"/>
        <w:gridCol w:w="956"/>
        <w:gridCol w:w="1084"/>
        <w:gridCol w:w="914"/>
        <w:gridCol w:w="914"/>
        <w:gridCol w:w="914"/>
        <w:gridCol w:w="914"/>
        <w:gridCol w:w="914"/>
        <w:gridCol w:w="914"/>
        <w:gridCol w:w="914"/>
        <w:gridCol w:w="915"/>
      </w:tblGrid>
      <w:tr>
        <w:trPr>
          <w:trHeight w:val="392" w:hRule="atLeast"/>
          <w:jc w:val="center"/>
        </w:trPr>
        <w:tc>
          <w:tcPr>
            <w:tcW w:w="11531"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31"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31"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1292.53</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0.02</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1292.51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湟源县司法局</w:t>
            </w:r>
          </w:p>
        </w:tc>
        <w:tc>
          <w:tcPr>
            <w:tcW w:w="10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1292.53</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0.02</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1292.51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湟源县司法局（本级）</w:t>
            </w:r>
          </w:p>
        </w:tc>
        <w:tc>
          <w:tcPr>
            <w:tcW w:w="10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1292.53</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0.02</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1292.51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9"/>
        <w:tblW w:w="11568" w:type="dxa"/>
        <w:jc w:val="center"/>
        <w:tblLayout w:type="fixed"/>
        <w:tblCellMar>
          <w:top w:w="0" w:type="dxa"/>
          <w:left w:w="108" w:type="dxa"/>
          <w:bottom w:w="0" w:type="dxa"/>
          <w:right w:w="108" w:type="dxa"/>
        </w:tblCellMar>
      </w:tblPr>
      <w:tblGrid>
        <w:gridCol w:w="1100"/>
        <w:gridCol w:w="3781"/>
        <w:gridCol w:w="1114"/>
        <w:gridCol w:w="1114"/>
        <w:gridCol w:w="1114"/>
        <w:gridCol w:w="1114"/>
        <w:gridCol w:w="1114"/>
        <w:gridCol w:w="1117"/>
      </w:tblGrid>
      <w:tr>
        <w:tblPrEx>
          <w:tblCellMar>
            <w:top w:w="0" w:type="dxa"/>
            <w:left w:w="108" w:type="dxa"/>
            <w:bottom w:w="0" w:type="dxa"/>
            <w:right w:w="108" w:type="dxa"/>
          </w:tblCellMar>
        </w:tblPrEx>
        <w:trPr>
          <w:trHeight w:val="187" w:hRule="atLeast"/>
          <w:jc w:val="center"/>
        </w:trPr>
        <w:tc>
          <w:tcPr>
            <w:tcW w:w="11568"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68"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68"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88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1292.53</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973.51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319.02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公共安全支出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975.11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656.09</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319.02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司法</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975.11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656.09</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319.02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2040601</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656.09</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656.09</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2040604</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基层司法业务</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2040605</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普法宣传</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2040606</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律师管理</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2040610</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社区矫正</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2040699</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其他司法支出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289.02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289.02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174.12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174.12</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173.01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173.01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66.74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66.74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33.37</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33.37</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72.90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72.90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81.06</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81.06</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81.06</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81.06</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44.99</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44.99</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32.07</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32.07</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7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62.24</w:t>
            </w: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9"/>
        <w:tblpPr w:leftFromText="180" w:rightFromText="180" w:vertAnchor="text" w:horzAnchor="page" w:tblpXSpec="center" w:tblpY="183"/>
        <w:tblOverlap w:val="never"/>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084"/>
        <w:gridCol w:w="1751"/>
        <w:gridCol w:w="1218"/>
        <w:gridCol w:w="136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2"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3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1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6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3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1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1292.53</w:t>
            </w:r>
          </w:p>
        </w:tc>
        <w:tc>
          <w:tcPr>
            <w:tcW w:w="136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1292.53</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1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975.11</w:t>
            </w:r>
          </w:p>
        </w:tc>
        <w:tc>
          <w:tcPr>
            <w:tcW w:w="136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975.11</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1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174.12</w:t>
            </w:r>
          </w:p>
        </w:tc>
        <w:tc>
          <w:tcPr>
            <w:tcW w:w="136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174.12</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1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81.06</w:t>
            </w:r>
          </w:p>
        </w:tc>
        <w:tc>
          <w:tcPr>
            <w:tcW w:w="136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81.06</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1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36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0.02</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0.02</w:t>
            </w:r>
          </w:p>
        </w:tc>
        <w:tc>
          <w:tcPr>
            <w:tcW w:w="1751" w:type="dxa"/>
            <w:shd w:val="clear" w:color="auto" w:fill="FFFFFF"/>
            <w:noWrap/>
            <w:vAlign w:val="center"/>
          </w:tcPr>
          <w:p>
            <w:pPr>
              <w:widowControl/>
              <w:jc w:val="left"/>
              <w:rPr>
                <w:rFonts w:ascii="宋体" w:hAnsi="宋体" w:cs="宋体"/>
                <w:kern w:val="0"/>
                <w:sz w:val="20"/>
              </w:rPr>
            </w:pP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18" w:type="dxa"/>
            <w:shd w:val="clear" w:color="auto" w:fill="FFFFFF"/>
            <w:noWrap/>
            <w:vAlign w:val="center"/>
          </w:tcPr>
          <w:p>
            <w:pPr>
              <w:widowControl/>
              <w:jc w:val="center"/>
              <w:rPr>
                <w:rFonts w:ascii="宋体" w:hAnsi="宋体" w:cs="宋体"/>
                <w:kern w:val="0"/>
                <w:sz w:val="20"/>
              </w:rPr>
            </w:pPr>
          </w:p>
        </w:tc>
        <w:tc>
          <w:tcPr>
            <w:tcW w:w="1362"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1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1292.53</w:t>
            </w:r>
          </w:p>
        </w:tc>
        <w:tc>
          <w:tcPr>
            <w:tcW w:w="136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1292.53</w:t>
            </w:r>
          </w:p>
        </w:tc>
        <w:tc>
          <w:tcPr>
            <w:tcW w:w="1339" w:type="dxa"/>
            <w:shd w:val="clear" w:color="auto" w:fill="FFFFFF"/>
            <w:noWrap/>
            <w:vAlign w:val="center"/>
          </w:tcPr>
          <w:p>
            <w:pPr>
              <w:widowControl/>
              <w:jc w:val="center"/>
              <w:rPr>
                <w:rFonts w:ascii="宋体" w:hAnsi="宋体" w:cs="宋体"/>
                <w:kern w:val="0"/>
                <w:sz w:val="20"/>
              </w:rPr>
            </w:pPr>
          </w:p>
        </w:tc>
      </w:tr>
    </w:tbl>
    <w:p>
      <w:r>
        <w:br w:type="page"/>
      </w:r>
    </w:p>
    <w:tbl>
      <w:tblPr>
        <w:tblStyle w:val="9"/>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44"/>
        <w:gridCol w:w="1472"/>
        <w:gridCol w:w="1472"/>
        <w:gridCol w:w="147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79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41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79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1292.51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973.51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319.00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公共安全支出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975.09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656.09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319.00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司法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975.09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656.09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319.00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656.09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656.09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04</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基层司法业务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普法宣传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律师管理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社区矫正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其他司法支出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289.00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289.00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174.12</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174.12</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173.01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173.01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66.74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66.74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33.37</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33.37</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72.90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72.90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1.11</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81.06</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81.06</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81.06</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81.06</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44.99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44.99</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32.07</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32.07</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62.24</w:t>
            </w:r>
          </w:p>
        </w:tc>
        <w:tc>
          <w:tcPr>
            <w:tcW w:w="14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9"/>
        <w:tblW w:w="11245" w:type="dxa"/>
        <w:jc w:val="center"/>
        <w:tblLayout w:type="fixed"/>
        <w:tblCellMar>
          <w:top w:w="0" w:type="dxa"/>
          <w:left w:w="108" w:type="dxa"/>
          <w:bottom w:w="0" w:type="dxa"/>
          <w:right w:w="108" w:type="dxa"/>
        </w:tblCellMar>
      </w:tblPr>
      <w:tblGrid>
        <w:gridCol w:w="650"/>
        <w:gridCol w:w="650"/>
        <w:gridCol w:w="3081"/>
        <w:gridCol w:w="2288"/>
        <w:gridCol w:w="2288"/>
        <w:gridCol w:w="2288"/>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8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6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81"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973.51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895.67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799.84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799.84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142.98</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142.98</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248.54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248.54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150.11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150.11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36.62</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36.62</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66.74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66.74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33.37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33.37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26.06</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26.06</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32.07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32.07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62.24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62.24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77.84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11.34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11.34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印刷费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咨询费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4.62</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4.62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4.20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4.20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维修（护）费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被装购置费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8.01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8.01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22.68</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8.85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8.85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95.83</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95.83</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72.90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72.90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22.93</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22.93</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310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资本性支出</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8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其他资本性支出</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9"/>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r>
    </w:tbl>
    <w:p>
      <w:pPr>
        <w:rPr>
          <w:rFonts w:ascii="仿宋_GB2312" w:eastAsia="仿宋_GB2312"/>
          <w:sz w:val="32"/>
          <w:szCs w:val="32"/>
        </w:rPr>
      </w:pPr>
      <w:r>
        <w:rPr>
          <w:rFonts w:hint="eastAsia" w:ascii="仿宋_GB2312" w:eastAsia="仿宋_GB2312"/>
          <w:sz w:val="32"/>
          <w:szCs w:val="32"/>
        </w:rPr>
        <w:br w:type="page"/>
      </w:r>
    </w:p>
    <w:tbl>
      <w:tblPr>
        <w:tblStyle w:val="9"/>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一、关于湟源县司法局2023年部门收支预算情况的总体说明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司法局所有收入和支出均纳入部门预算管理。收入包括：一般公共预算拨款收入1292.51万元，上年结转0.02万元；支出包括：公共安全支出975.11万元，社会保障和就业支出174.12万元，卫生健康支出81.06万元，住房保障支出62.24万元。湟源县司法局2023年收支总预算1292.53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二、关于湟源县司法局2023年部门收入预算情况说明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湟源县司法局2023年收入预算1292.53万元，其中：上年结转0.02万元，占0.00%；一般公共预算拨款收入1292.51万元，占100.00%。</w:t>
      </w:r>
    </w:p>
    <w:p>
      <w:pPr>
        <w:ind w:firstLine="640" w:firstLineChars="200"/>
        <w:rPr>
          <w:rFonts w:ascii="仿宋_GB2312" w:eastAsia="仿宋_GB2312"/>
          <w:sz w:val="32"/>
          <w:szCs w:val="32"/>
        </w:rPr>
      </w:pPr>
      <w:r>
        <w:rPr>
          <w:rFonts w:hint="eastAsia" w:ascii="仿宋_GB2312" w:eastAsia="仿宋_GB2312"/>
          <w:sz w:val="32"/>
          <w:szCs w:val="32"/>
        </w:rPr>
        <w:drawing>
          <wp:inline distT="0" distB="0" distL="114300" distR="114300">
            <wp:extent cx="4585335" cy="2109470"/>
            <wp:effectExtent l="0" t="0" r="1206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cstate="print"/>
                    <a:stretch>
                      <a:fillRect/>
                    </a:stretch>
                  </pic:blipFill>
                  <pic:spPr>
                    <a:xfrm>
                      <a:off x="0" y="0"/>
                      <a:ext cx="4585335" cy="210947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三、关于湟源县司法局2023年部门支出预算情况说明</w:t>
      </w:r>
    </w:p>
    <w:p>
      <w:pPr>
        <w:ind w:firstLine="645"/>
        <w:rPr>
          <w:rFonts w:ascii="仿宋_GB2312" w:eastAsia="仿宋_GB2312"/>
          <w:sz w:val="32"/>
          <w:szCs w:val="32"/>
        </w:rPr>
      </w:pPr>
      <w:r>
        <w:rPr>
          <w:rFonts w:hint="eastAsia" w:ascii="仿宋_GB2312" w:eastAsia="仿宋_GB2312"/>
          <w:sz w:val="32"/>
          <w:szCs w:val="32"/>
        </w:rPr>
        <w:t>湟源县司法局2023年支出预算1292.53万元，其中：基本支出973.51万元，占75.32%；项目支出319.02万元，占24.68%。</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624705" cy="21278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624705" cy="2127885"/>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四、关于湟源县司法局2023年财政拨款收支预算情况的总体说明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司法局2023年财政拨款收支总预算1292.53万元，比上年增加113.75万元，主要是人员基本工资的正常增长，相应社保缴费增加。收入包括：一般公共预算拨款收入1292.51万元，上年结转0.02万元；政府性基金预算拨款收入0.00万元，上年结转0.00万元。支出包括： 公共安全支出975.11万元， 社会保障和就业支出174.12万元， 卫生健康支出81.06万元， 住房保障支出62.24万元。</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431030" cy="203962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431030" cy="203962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五、关于湟源县司法局2023年一般公共预算当年拨款情况说明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湟源县司法局2023年一般公共预算当年拨款1292.51万元,比上年增加113.73万元，主要是人员基本工资的正常增长，相应社保缴费增加</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drawing>
          <wp:inline distT="0" distB="0" distL="114300" distR="114300">
            <wp:extent cx="4378325" cy="150368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4378325" cy="150368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公共安全支出975.09万元，占75.44%；社会保障和就业支出174.12万元，占13.47%；卫生健康支出81.06万元，占6.27%；住房保障支出62.24万元，占4.82%。</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659630" cy="214503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4659630" cy="214503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1、公共安全支出（类）司法（款）行政运行（项）2023年预算数为656.09万元，比上年增加20.14万元，增长3.17%。主要是人员基本工资的正常增长，该类支出同比增加。</w:t>
      </w:r>
    </w:p>
    <w:p>
      <w:pPr>
        <w:ind w:firstLine="645"/>
        <w:rPr>
          <w:rFonts w:ascii="仿宋_GB2312" w:eastAsia="仿宋_GB2312"/>
          <w:sz w:val="32"/>
          <w:szCs w:val="32"/>
        </w:rPr>
      </w:pPr>
      <w:r>
        <w:rPr>
          <w:rFonts w:hint="eastAsia" w:ascii="仿宋_GB2312" w:eastAsia="仿宋_GB2312"/>
          <w:sz w:val="32"/>
          <w:szCs w:val="32"/>
        </w:rPr>
        <w:t>2、公共安全支出（类）司法（款）基层司法业务（项）2023年预算数为9.00万元，比上年增加4.00万元，增长80.00%。主要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用于</w:t>
      </w:r>
      <w:r>
        <w:rPr>
          <w:rFonts w:hint="eastAsia" w:ascii="仿宋_GB2312" w:eastAsia="仿宋_GB2312"/>
          <w:sz w:val="32"/>
          <w:szCs w:val="32"/>
          <w:highlight w:val="none"/>
        </w:rPr>
        <w:t>巩固基</w:t>
      </w:r>
      <w:r>
        <w:rPr>
          <w:rFonts w:hint="eastAsia" w:ascii="仿宋_GB2312" w:eastAsia="仿宋_GB2312"/>
          <w:sz w:val="32"/>
          <w:szCs w:val="32"/>
        </w:rPr>
        <w:t>层人民调解工作的投资和基层司法所各项业务顺利开展。</w:t>
      </w:r>
    </w:p>
    <w:p>
      <w:pPr>
        <w:ind w:firstLine="645"/>
        <w:rPr>
          <w:rFonts w:hint="eastAsia" w:ascii="仿宋_GB2312" w:eastAsia="仿宋_GB2312"/>
          <w:sz w:val="30"/>
          <w:szCs w:val="30"/>
          <w:highlight w:val="none"/>
          <w:lang w:eastAsia="zh-CN"/>
        </w:rPr>
      </w:pPr>
      <w:r>
        <w:rPr>
          <w:rFonts w:hint="eastAsia" w:ascii="仿宋_GB2312" w:eastAsia="仿宋_GB2312"/>
          <w:sz w:val="32"/>
          <w:szCs w:val="32"/>
        </w:rPr>
        <w:t>3、公共安全支出（类）司法（款）普法宣传（项）2023年预算数为3.00万元，比上年增加0.00万元，增长0.00%。</w:t>
      </w:r>
      <w:r>
        <w:rPr>
          <w:rFonts w:hint="eastAsia" w:ascii="仿宋_GB2312" w:eastAsia="仿宋_GB2312"/>
          <w:sz w:val="30"/>
          <w:szCs w:val="30"/>
          <w:highlight w:val="none"/>
          <w:lang w:val="en-US" w:eastAsia="zh-CN"/>
        </w:rPr>
        <w:t>与上年持平。</w:t>
      </w:r>
    </w:p>
    <w:p>
      <w:pPr>
        <w:ind w:firstLine="645"/>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rPr>
        <w:t>4、公共安全支出（类）司法（款）律师管理（项）2023年预算数为10.00万元，比上年增加0.00万元，增长0.00%。</w:t>
      </w:r>
      <w:r>
        <w:rPr>
          <w:rFonts w:hint="eastAsia" w:ascii="仿宋_GB2312" w:eastAsia="仿宋_GB2312"/>
          <w:sz w:val="32"/>
          <w:szCs w:val="32"/>
          <w:highlight w:val="none"/>
          <w:lang w:val="en-US" w:eastAsia="zh-CN"/>
        </w:rPr>
        <w:t>与上年持平。</w:t>
      </w:r>
    </w:p>
    <w:p>
      <w:pPr>
        <w:ind w:firstLine="645"/>
        <w:rPr>
          <w:rFonts w:hint="eastAsia" w:ascii="仿宋_GB2312" w:hAnsi="Times New Roman" w:eastAsia="仿宋_GB2312" w:cs="Times New Roman"/>
          <w:sz w:val="32"/>
          <w:szCs w:val="32"/>
        </w:rPr>
      </w:pPr>
      <w:r>
        <w:rPr>
          <w:rFonts w:hint="eastAsia" w:ascii="仿宋_GB2312" w:eastAsia="仿宋_GB2312"/>
          <w:sz w:val="32"/>
          <w:szCs w:val="32"/>
        </w:rPr>
        <w:t>5、公共安全支出（类）司法（款）社区矫正（项）2023年预算数为8.00万元，比上年增加5.00万元，增长166.67%。</w:t>
      </w:r>
      <w:r>
        <w:rPr>
          <w:rFonts w:hint="eastAsia" w:ascii="仿宋_GB2312" w:hAnsi="Times New Roman" w:eastAsia="仿宋_GB2312" w:cs="Times New Roman"/>
          <w:sz w:val="32"/>
          <w:szCs w:val="32"/>
        </w:rPr>
        <w:t>主要是用于社区矫正人员技能培训以及打造智慧矫正中心。</w:t>
      </w:r>
    </w:p>
    <w:p>
      <w:pPr>
        <w:ind w:firstLine="645"/>
        <w:rPr>
          <w:rFonts w:ascii="仿宋_GB2312" w:eastAsia="仿宋_GB2312"/>
          <w:sz w:val="32"/>
          <w:szCs w:val="32"/>
        </w:rPr>
      </w:pPr>
      <w:r>
        <w:rPr>
          <w:rFonts w:hint="eastAsia" w:ascii="仿宋_GB2312" w:eastAsia="仿宋_GB2312"/>
          <w:sz w:val="32"/>
          <w:szCs w:val="32"/>
        </w:rPr>
        <w:t>6、公共安全支出（类）司法（款）其他司法支出（项）2023年预算数为289.00万元，比上年增加69.00万元，增长31.36%。主要是项目增加，业务开展顺利。</w:t>
      </w:r>
    </w:p>
    <w:p>
      <w:pPr>
        <w:ind w:firstLine="645"/>
        <w:rPr>
          <w:rFonts w:ascii="仿宋_GB2312" w:eastAsia="仿宋_GB2312"/>
          <w:sz w:val="32"/>
          <w:szCs w:val="32"/>
        </w:rPr>
      </w:pPr>
      <w:r>
        <w:rPr>
          <w:rFonts w:hint="eastAsia" w:ascii="仿宋_GB2312" w:eastAsia="仿宋_GB2312"/>
          <w:sz w:val="32"/>
          <w:szCs w:val="32"/>
        </w:rPr>
        <w:t>7、社会保障和就业支出（类）行政事业单位养老支出（款）机关事业单位基本养老保险缴费支出（项）2023年预算数为66.74万元，比上年增加8.36万元，增长14.32%。主要是人员基本工资的正常增长，基数调整。</w:t>
      </w:r>
    </w:p>
    <w:p>
      <w:pPr>
        <w:ind w:firstLine="645"/>
        <w:rPr>
          <w:rFonts w:hint="eastAsia" w:ascii="仿宋_GB2312" w:hAnsi="Times New Roman" w:eastAsia="仿宋_GB2312" w:cs="Times New Roman"/>
          <w:sz w:val="32"/>
          <w:szCs w:val="32"/>
        </w:rPr>
      </w:pPr>
      <w:r>
        <w:rPr>
          <w:rFonts w:hint="eastAsia" w:ascii="仿宋_GB2312" w:eastAsia="仿宋_GB2312"/>
          <w:sz w:val="32"/>
          <w:szCs w:val="32"/>
        </w:rPr>
        <w:t>8、社会保障和就业支出（类）行政事业单位养老支出（款）机关事业单位职业年金缴费支出（项）2023年预算数为33.37万元，比上年增加4.18万元，增长14.32%。</w:t>
      </w:r>
      <w:r>
        <w:rPr>
          <w:rFonts w:hint="eastAsia" w:ascii="仿宋_GB2312" w:hAnsi="Times New Roman" w:eastAsia="仿宋_GB2312" w:cs="Times New Roman"/>
          <w:sz w:val="32"/>
          <w:szCs w:val="32"/>
        </w:rPr>
        <w:t>主要是人员基本工资的正常增长，基数调整。</w:t>
      </w:r>
    </w:p>
    <w:p>
      <w:pPr>
        <w:ind w:firstLine="645"/>
        <w:rPr>
          <w:rFonts w:ascii="仿宋_GB2312" w:eastAsia="仿宋_GB2312"/>
          <w:sz w:val="32"/>
          <w:szCs w:val="32"/>
        </w:rPr>
      </w:pPr>
      <w:r>
        <w:rPr>
          <w:rFonts w:hint="eastAsia" w:ascii="仿宋_GB2312" w:eastAsia="仿宋_GB2312"/>
          <w:sz w:val="32"/>
          <w:szCs w:val="32"/>
        </w:rPr>
        <w:t>9、社会保障和就业支出（类）行政事业单位养老支出（款）其他行政事业单位养老支出（项）2023年预算数为72.90万元，比上年增加17.15万元，增长30.76%。主要是</w:t>
      </w:r>
      <w:r>
        <w:rPr>
          <w:rFonts w:hint="eastAsia" w:ascii="仿宋_GB2312" w:hAnsi="宋体" w:eastAsia="仿宋_GB2312" w:cs="仿宋_GB2312"/>
          <w:color w:val="000000"/>
          <w:kern w:val="0"/>
          <w:sz w:val="32"/>
          <w:szCs w:val="32"/>
        </w:rPr>
        <w:t>退休人员增加及各类奖金支出。</w:t>
      </w:r>
    </w:p>
    <w:p>
      <w:pPr>
        <w:ind w:firstLine="645"/>
        <w:rPr>
          <w:rFonts w:ascii="仿宋_GB2312" w:eastAsia="仿宋_GB2312"/>
          <w:sz w:val="32"/>
          <w:szCs w:val="32"/>
        </w:rPr>
      </w:pPr>
      <w:r>
        <w:rPr>
          <w:rFonts w:hint="eastAsia" w:ascii="仿宋_GB2312" w:eastAsia="仿宋_GB2312"/>
          <w:sz w:val="32"/>
          <w:szCs w:val="32"/>
        </w:rPr>
        <w:t>10、社会保障和就业支出（类）其他社会保障和就业支出（款）其他社会保障和就业支出（项）2023年预算数为1.11万元，比上年减少0.10万元，下降8.26%。主要是年末1名在职人员退休,相应的缴纳工伤保险、失业保险支出的减少。</w:t>
      </w:r>
    </w:p>
    <w:p>
      <w:pPr>
        <w:ind w:firstLine="645"/>
        <w:rPr>
          <w:rFonts w:ascii="仿宋_GB2312" w:eastAsia="仿宋_GB2312"/>
          <w:sz w:val="32"/>
          <w:szCs w:val="32"/>
        </w:rPr>
      </w:pPr>
      <w:r>
        <w:rPr>
          <w:rFonts w:hint="eastAsia" w:ascii="仿宋_GB2312" w:eastAsia="仿宋_GB2312"/>
          <w:sz w:val="32"/>
          <w:szCs w:val="32"/>
        </w:rPr>
        <w:t>11、卫生健康支出（类）行政事业单位医疗（款）行政单位医疗（项）2023年预算数为44.99万元，比上年减少17.79万元，下降28.34%。主要是年末1名在职人员退休,行政单位医疗支出减少。</w:t>
      </w:r>
    </w:p>
    <w:p>
      <w:pPr>
        <w:ind w:firstLine="645"/>
        <w:rPr>
          <w:rFonts w:ascii="仿宋_GB2312" w:eastAsia="仿宋_GB2312"/>
          <w:sz w:val="32"/>
          <w:szCs w:val="32"/>
        </w:rPr>
      </w:pPr>
      <w:r>
        <w:rPr>
          <w:rFonts w:hint="eastAsia" w:ascii="仿宋_GB2312" w:eastAsia="仿宋_GB2312"/>
          <w:sz w:val="32"/>
          <w:szCs w:val="32"/>
        </w:rPr>
        <w:t>12、卫生健康支出（类）行政事业单位医疗（款）事业单位医疗（项）2023年预算数为4.00万元，比上年增加0.07万元，增长1.78%。主要是人员基本工资的正常增长，基数调整。</w:t>
      </w:r>
    </w:p>
    <w:p>
      <w:pPr>
        <w:ind w:firstLine="645"/>
        <w:rPr>
          <w:rFonts w:ascii="仿宋_GB2312" w:eastAsia="仿宋_GB2312"/>
          <w:sz w:val="32"/>
          <w:szCs w:val="32"/>
        </w:rPr>
      </w:pPr>
      <w:r>
        <w:rPr>
          <w:rFonts w:hint="eastAsia" w:ascii="仿宋_GB2312" w:eastAsia="仿宋_GB2312"/>
          <w:sz w:val="32"/>
          <w:szCs w:val="32"/>
        </w:rPr>
        <w:t>13、卫生健康支出（类）行政事业单位医疗（款）公务员医疗补助（项）2023年预算数为32.07万元，比上年减少4.16万元，下降11.48%。主要是公务员医疗补助支出减少。</w:t>
      </w:r>
    </w:p>
    <w:p>
      <w:pPr>
        <w:ind w:firstLine="645"/>
        <w:rPr>
          <w:rFonts w:ascii="仿宋_GB2312" w:eastAsia="仿宋_GB2312"/>
          <w:sz w:val="32"/>
          <w:szCs w:val="32"/>
        </w:rPr>
      </w:pPr>
      <w:r>
        <w:rPr>
          <w:rFonts w:hint="eastAsia" w:ascii="仿宋_GB2312" w:eastAsia="仿宋_GB2312"/>
          <w:sz w:val="32"/>
          <w:szCs w:val="32"/>
        </w:rPr>
        <w:t>14、住房保障支出（类）住房改革支出（款）住房公积金（项）2023年预算数为62.24万元，比上年增加7.89万元，增长14.52%。主要是人员基本工资的正常增长，基数调整。</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湟源县司法局2023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湟源县司法局2023年一般公共预算基本支出973.51万元，其中：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895.67万元，主要包括：基本工资142.98万元、津贴补贴248.54万元、奖金150.11万元、绩效工资36.62万元、机关事业单位基本养老保险缴费66.74万元、职业年金缴费33.37万元、职工基本医疗保险缴费26.06万元、公务员医疗补助缴费32.07万元、其他社会保障缴费1.11万元、住房公积金62.24万元、退休费72.90万元、医疗费补助22.93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77.84万元，主要包括：办公费11.34万元、水费0.84万元、电费0.84万元、邮电费4.62万元、取暖费4.20万元、差旅费4.20万元、公务接待费1.26万元、工会经费8.01万元、公务用车运行维护费11.00万元、其他交通费用22.68万元、其他商品和服务支出8.85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湟源县司法局2023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湟源县司法局2023年一般公共预算“三公”经费预算数为12.26万元，比上年增加0.00万元，其中：因公出国（境）费0.00万元，增加0.00万元；公务用车购置及运行费11.00万元，增加0.00万元；公务接待费1.26万元，增加0.00万元。2023年“三公”经费预</w:t>
      </w:r>
      <w:r>
        <w:rPr>
          <w:rFonts w:hint="eastAsia" w:ascii="仿宋_GB2312" w:eastAsia="仿宋_GB2312"/>
          <w:sz w:val="32"/>
          <w:szCs w:val="32"/>
          <w:highlight w:val="none"/>
        </w:rPr>
        <w:t>算</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上</w:t>
      </w:r>
      <w:r>
        <w:rPr>
          <w:rFonts w:hint="eastAsia" w:ascii="仿宋_GB2312" w:eastAsia="仿宋_GB2312"/>
          <w:sz w:val="32"/>
          <w:szCs w:val="32"/>
        </w:rPr>
        <w:t>年无增</w:t>
      </w:r>
      <w:bookmarkStart w:id="6" w:name="_GoBack"/>
      <w:bookmarkEnd w:id="6"/>
      <w:r>
        <w:rPr>
          <w:rFonts w:hint="eastAsia" w:ascii="仿宋_GB2312" w:eastAsia="仿宋_GB2312"/>
          <w:sz w:val="32"/>
          <w:szCs w:val="32"/>
        </w:rPr>
        <w:t>减变化。</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湟源县司法局2023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湟源县司法局2023年没有使用政府性基金预算拨款安排的支出。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2023年湟源县司法局机关运行经费财政拨款预算77.84万元，比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年预算减少3.77万元，下降4.62%。主要是</w:t>
      </w:r>
      <w:r>
        <w:rPr>
          <w:rFonts w:ascii="仿宋_GB2312" w:eastAsia="仿宋_GB2312"/>
          <w:sz w:val="32"/>
          <w:szCs w:val="32"/>
        </w:rPr>
        <w:t>差旅费、日常维修费</w:t>
      </w:r>
      <w:r>
        <w:rPr>
          <w:rFonts w:hint="eastAsia" w:ascii="仿宋_GB2312" w:eastAsia="仿宋_GB2312"/>
          <w:sz w:val="32"/>
          <w:szCs w:val="32"/>
          <w:lang w:val="en-US"/>
        </w:rPr>
        <w:t>等支出减少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2023年湟源县司法局各单位政府采购预算总额0万元，其中：政府采购货物预算0万元、政府采购工程预算0万元、政府采购服务预算0万元。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司法局所属各预算单位共有车辆11辆，其中，省级领导干部用车0辆、厅级领导干部用车0辆、一般公务用车2辆、一般执法执勤用车8辆、特种专业技术用车1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2023年湟源县司法局预算均实行绩效目标管理，涉及项目5个，预算金额319.00万元。</w:t>
      </w:r>
    </w:p>
    <w:p>
      <w:pPr>
        <w:jc w:val="center"/>
        <w:rPr>
          <w:rFonts w:ascii="仿宋_GB2312" w:eastAsia="仿宋_GB2312"/>
          <w:b/>
          <w:sz w:val="32"/>
          <w:szCs w:val="32"/>
        </w:rPr>
      </w:pPr>
    </w:p>
    <w:tbl>
      <w:tblPr>
        <w:tblStyle w:val="9"/>
        <w:tblW w:w="10127" w:type="dxa"/>
        <w:tblInd w:w="-469" w:type="dxa"/>
        <w:tblLayout w:type="fixed"/>
        <w:tblCellMar>
          <w:top w:w="0" w:type="dxa"/>
          <w:left w:w="108" w:type="dxa"/>
          <w:bottom w:w="0" w:type="dxa"/>
          <w:right w:w="108" w:type="dxa"/>
        </w:tblCellMar>
      </w:tblPr>
      <w:tblGrid>
        <w:gridCol w:w="1312"/>
        <w:gridCol w:w="1075"/>
        <w:gridCol w:w="1400"/>
        <w:gridCol w:w="800"/>
        <w:gridCol w:w="825"/>
        <w:gridCol w:w="1838"/>
        <w:gridCol w:w="937"/>
        <w:gridCol w:w="963"/>
        <w:gridCol w:w="977"/>
      </w:tblGrid>
      <w:tr>
        <w:tblPrEx>
          <w:tblCellMar>
            <w:top w:w="0" w:type="dxa"/>
            <w:left w:w="108" w:type="dxa"/>
            <w:bottom w:w="0" w:type="dxa"/>
            <w:right w:w="108" w:type="dxa"/>
          </w:tblCellMar>
        </w:tblPrEx>
        <w:trPr>
          <w:trHeight w:val="420" w:hRule="atLeast"/>
        </w:trPr>
        <w:tc>
          <w:tcPr>
            <w:tcW w:w="10127"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trPr>
        <w:tc>
          <w:tcPr>
            <w:tcW w:w="3787"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80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2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83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37"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940"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840"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中央政法纪检监察转移支付资金</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289.00</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正常开展司法业务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质量指标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社区矫正教育等级优良率</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社会效益指标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社区矫正效果群众满意度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服务对象满意度指标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社区矫正人员满意度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280"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政府法律顾问</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区政府专业法律咨询及行政复议、行政诉讼代理。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数量指标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办结率</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社会效益指标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推进法治政府建设，维护社会公平正义</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服务对象满意度指标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各单位满意率</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3360"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普法宣传</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3.00</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通过普法宣传加强了公民法律意识，提高了公民学法守法用法的自觉性和积极性。普法宣传活动进一步引导居民明辨是非、崇礼守法，增强法治观念学会用法律武器维护自身的合法权益。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质量指标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加强公民意识，提高学法守法用法的自觉性和积极性。打造法治建设阵地，全面覆盖，提升法治建设广度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社会效益指标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法治宣传活动与群众需求性普法相结合，为依法治县、八五普法建设提供了坚强的法治保障。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服务对象满意度指标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接受法律宣传群众满意度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120"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社区矫正</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8.00</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通过加强社区矫正信息化建设，不断提高社区矫正依法全面推进水平，有效预防和减少重新犯罪，维护社会稳定，创新教育矫正方法，预防和减少重新违法犯罪，为维护社会和谐稳定，建设平安湟源、全面提升社区矫正工作水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数量指标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完成全县社区矫正普法宣传工作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420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社会效益指标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不断提高社区矫正依法全面推进水平，有效预防和减少重新犯罪，维护社会稳定，创新教育矫正方法，预防和减少重新违法犯罪，</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服务对象满意度指标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矫正人员满意度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基层司法所业务经费</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9.00</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正常开展司法所业务，完成上级及乡政府交办的业务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质量指标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法律援助案件质量等级优良率</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可持续影响指标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法律服务专线接通率</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服务对象满意度指标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9"/>
                <w:rFonts w:hint="default"/>
              </w:rPr>
              <w:t>受法律援助群众满意度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rPr>
          <w:rFonts w:ascii="仿宋_GB2312" w:eastAsia="仿宋_GB2312"/>
          <w:b/>
          <w:sz w:val="32"/>
          <w:szCs w:val="32"/>
        </w:rPr>
      </w:pPr>
    </w:p>
    <w:p>
      <w:pPr>
        <w:jc w:val="center"/>
        <w:rPr>
          <w:rFonts w:ascii="仿宋_GB2312" w:eastAsia="仿宋_GB2312"/>
          <w:b/>
          <w:sz w:val="32"/>
          <w:szCs w:val="32"/>
        </w:rPr>
      </w:pPr>
    </w:p>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ascii="仿宋_GB2312" w:eastAsia="仿宋_GB2312"/>
          <w:sz w:val="32"/>
          <w:szCs w:val="32"/>
        </w:rPr>
      </w:pPr>
      <w:r>
        <w:rPr>
          <w:rFonts w:hint="eastAsia" w:ascii="仿宋_GB2312" w:eastAsia="仿宋_GB2312"/>
          <w:b/>
          <w:bCs/>
          <w:sz w:val="32"/>
          <w:szCs w:val="32"/>
        </w:rPr>
        <w:t>（一）公共安全支出（类）司法（款）行政运行（项）：</w:t>
      </w:r>
      <w:r>
        <w:rPr>
          <w:rFonts w:hint="eastAsia" w:ascii="仿宋_GB2312" w:eastAsia="仿宋_GB2312"/>
          <w:sz w:val="32"/>
          <w:szCs w:val="32"/>
        </w:rPr>
        <w:t>反映行政单位（包括实行公务员管理的事业单位）的基本支出。</w:t>
      </w:r>
    </w:p>
    <w:p>
      <w:pPr>
        <w:ind w:firstLine="643" w:firstLineChars="200"/>
        <w:rPr>
          <w:rFonts w:ascii="仿宋_GB2312" w:eastAsia="仿宋_GB2312"/>
          <w:sz w:val="32"/>
          <w:szCs w:val="32"/>
        </w:rPr>
      </w:pPr>
      <w:r>
        <w:rPr>
          <w:rFonts w:hint="eastAsia" w:ascii="仿宋_GB2312" w:eastAsia="仿宋_GB2312"/>
          <w:b/>
          <w:bCs/>
          <w:sz w:val="32"/>
          <w:szCs w:val="32"/>
        </w:rPr>
        <w:t>（二）</w:t>
      </w:r>
      <w:r>
        <w:rPr>
          <w:rFonts w:ascii="仿宋_GB2312" w:eastAsia="仿宋_GB2312"/>
          <w:b/>
          <w:bCs/>
          <w:sz w:val="32"/>
          <w:szCs w:val="32"/>
        </w:rPr>
        <w:t>公共安全支出（类）司法（款）基层司法业务</w:t>
      </w:r>
      <w:r>
        <w:rPr>
          <w:rFonts w:hint="eastAsia" w:ascii="仿宋_GB2312" w:eastAsia="仿宋_GB2312"/>
          <w:b/>
          <w:bCs/>
          <w:sz w:val="32"/>
          <w:szCs w:val="32"/>
        </w:rPr>
        <w:t>（项）：</w:t>
      </w:r>
      <w:r>
        <w:rPr>
          <w:rFonts w:hint="eastAsia" w:ascii="仿宋_GB2312" w:eastAsia="仿宋_GB2312"/>
          <w:sz w:val="32"/>
          <w:szCs w:val="32"/>
        </w:rPr>
        <w:t>反映各级司法行政部门用于基层业务的支出，包括基层工作指导费、调解费、安置帮教费、司法所经费和公共法律服务平台相关支出、人民陪审员选任管理费用、人民监督员选任管理费用等支出。</w:t>
      </w:r>
    </w:p>
    <w:p>
      <w:pPr>
        <w:ind w:firstLine="643" w:firstLineChars="200"/>
        <w:rPr>
          <w:rFonts w:ascii="仿宋_GB2312" w:eastAsia="仿宋_GB2312"/>
          <w:sz w:val="32"/>
          <w:szCs w:val="32"/>
        </w:rPr>
      </w:pPr>
      <w:r>
        <w:rPr>
          <w:rFonts w:hint="eastAsia" w:ascii="仿宋_GB2312" w:eastAsia="仿宋_GB2312"/>
          <w:b/>
          <w:bCs/>
          <w:sz w:val="32"/>
          <w:szCs w:val="32"/>
        </w:rPr>
        <w:t>（三）</w:t>
      </w:r>
      <w:r>
        <w:rPr>
          <w:rFonts w:ascii="仿宋_GB2312" w:eastAsia="仿宋_GB2312"/>
          <w:b/>
          <w:bCs/>
          <w:sz w:val="32"/>
          <w:szCs w:val="32"/>
        </w:rPr>
        <w:t>公共安全支出（类）司法（款）普法宣传</w:t>
      </w:r>
      <w:r>
        <w:rPr>
          <w:rFonts w:hint="eastAsia" w:ascii="仿宋_GB2312" w:eastAsia="仿宋_GB2312"/>
          <w:b/>
          <w:bCs/>
          <w:sz w:val="32"/>
          <w:szCs w:val="32"/>
        </w:rPr>
        <w:t>（项）：</w:t>
      </w:r>
      <w:r>
        <w:rPr>
          <w:rFonts w:hint="eastAsia" w:ascii="仿宋_GB2312" w:eastAsia="仿宋_GB2312"/>
          <w:sz w:val="32"/>
          <w:szCs w:val="32"/>
        </w:rPr>
        <w:t>反映各级司法行政部门用于组织各种媒体的宣传、普法装备与设施、宣传资料、对外宣传、法制作品的审读评审等方面的支出。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（四）公共安全支出（类）司法（款）律师管理（项）：</w:t>
      </w:r>
      <w:r>
        <w:rPr>
          <w:rFonts w:hint="eastAsia" w:ascii="仿宋_GB2312" w:hAnsi="仿宋" w:eastAsia="仿宋_GB2312"/>
          <w:bCs/>
          <w:spacing w:val="-6"/>
          <w:sz w:val="32"/>
          <w:szCs w:val="32"/>
        </w:rPr>
        <w:t>反映司法行政部门用于律师管理和法律顾问的相关支出。</w:t>
      </w:r>
    </w:p>
    <w:p>
      <w:pPr>
        <w:ind w:firstLine="643" w:firstLineChars="200"/>
        <w:rPr>
          <w:rFonts w:ascii="仿宋_GB2312" w:eastAsia="仿宋_GB2312"/>
          <w:sz w:val="32"/>
          <w:szCs w:val="32"/>
        </w:rPr>
      </w:pPr>
      <w:r>
        <w:rPr>
          <w:rFonts w:hint="eastAsia" w:ascii="仿宋_GB2312" w:eastAsia="仿宋_GB2312"/>
          <w:b/>
          <w:bCs/>
          <w:sz w:val="32"/>
          <w:szCs w:val="32"/>
        </w:rPr>
        <w:t>（五）</w:t>
      </w:r>
      <w:r>
        <w:rPr>
          <w:rFonts w:ascii="仿宋_GB2312" w:eastAsia="仿宋_GB2312"/>
          <w:b/>
          <w:bCs/>
          <w:sz w:val="32"/>
          <w:szCs w:val="32"/>
        </w:rPr>
        <w:t>公共安全支出（类）司法（款）社区矫正</w:t>
      </w:r>
      <w:r>
        <w:rPr>
          <w:rFonts w:hint="eastAsia" w:ascii="仿宋_GB2312" w:eastAsia="仿宋_GB2312"/>
          <w:b/>
          <w:bCs/>
          <w:sz w:val="32"/>
          <w:szCs w:val="32"/>
        </w:rPr>
        <w:t>(项）：</w:t>
      </w:r>
      <w:r>
        <w:rPr>
          <w:rFonts w:hint="eastAsia" w:ascii="仿宋_GB2312" w:eastAsia="仿宋_GB2312"/>
          <w:sz w:val="32"/>
          <w:szCs w:val="32"/>
        </w:rPr>
        <w:t>反映司法行政部门用于社区矫正的相关支出。</w:t>
      </w:r>
    </w:p>
    <w:p>
      <w:pPr>
        <w:ind w:firstLine="643" w:firstLineChars="200"/>
        <w:rPr>
          <w:rFonts w:ascii="仿宋_GB2312" w:eastAsia="仿宋_GB2312"/>
          <w:sz w:val="32"/>
          <w:szCs w:val="32"/>
        </w:rPr>
      </w:pPr>
      <w:r>
        <w:rPr>
          <w:rFonts w:hint="eastAsia" w:ascii="仿宋_GB2312" w:eastAsia="仿宋_GB2312"/>
          <w:b/>
          <w:bCs/>
          <w:sz w:val="32"/>
          <w:szCs w:val="32"/>
        </w:rPr>
        <w:t>（六）</w:t>
      </w:r>
      <w:r>
        <w:rPr>
          <w:rFonts w:ascii="仿宋_GB2312" w:eastAsia="仿宋_GB2312"/>
          <w:b/>
          <w:bCs/>
          <w:sz w:val="32"/>
          <w:szCs w:val="32"/>
        </w:rPr>
        <w:t>公共安全支出（类）司法（款）其他司法支出</w:t>
      </w:r>
      <w:r>
        <w:rPr>
          <w:rFonts w:hint="eastAsia" w:ascii="仿宋_GB2312" w:eastAsia="仿宋_GB2312"/>
          <w:b/>
          <w:bCs/>
          <w:sz w:val="32"/>
          <w:szCs w:val="32"/>
        </w:rPr>
        <w:t>（项）：</w:t>
      </w:r>
      <w:r>
        <w:rPr>
          <w:rFonts w:hint="eastAsia" w:ascii="仿宋_GB2312" w:eastAsia="仿宋_GB2312"/>
          <w:sz w:val="32"/>
          <w:szCs w:val="32"/>
        </w:rPr>
        <w:t>反映除上述项目以外其他用于司法方面的支出。</w:t>
      </w:r>
    </w:p>
    <w:p>
      <w:pPr>
        <w:ind w:firstLine="643" w:firstLineChars="200"/>
        <w:rPr>
          <w:rFonts w:ascii="仿宋_GB2312" w:eastAsia="仿宋_GB2312"/>
          <w:sz w:val="32"/>
          <w:szCs w:val="32"/>
        </w:rPr>
      </w:pPr>
      <w:r>
        <w:rPr>
          <w:rFonts w:hint="eastAsia" w:ascii="仿宋_GB2312" w:eastAsia="仿宋_GB2312"/>
          <w:b/>
          <w:bCs/>
          <w:sz w:val="32"/>
          <w:szCs w:val="32"/>
        </w:rPr>
        <w:t>（七）社会保障和就业支出（类）行政事业单位养老支出（款）机关事业单位基本养老保险缴费支出（项）：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ascii="仿宋_GB2312" w:eastAsia="仿宋_GB2312"/>
          <w:sz w:val="32"/>
          <w:szCs w:val="32"/>
        </w:rPr>
      </w:pPr>
      <w:r>
        <w:rPr>
          <w:rFonts w:hint="eastAsia" w:ascii="仿宋_GB2312" w:eastAsia="仿宋_GB2312"/>
          <w:b/>
          <w:bCs/>
          <w:sz w:val="32"/>
          <w:szCs w:val="32"/>
        </w:rPr>
        <w:t>（八）社会保障和就业支出（类）行政事业单位养老支出（款）机关事业单位职业年金缴费支出（项）：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ascii="仿宋_GB2312" w:eastAsia="仿宋_GB2312"/>
          <w:sz w:val="32"/>
          <w:szCs w:val="32"/>
        </w:rPr>
      </w:pPr>
      <w:r>
        <w:rPr>
          <w:rFonts w:hint="eastAsia" w:ascii="仿宋_GB2312" w:eastAsia="仿宋_GB2312"/>
          <w:b/>
          <w:bCs/>
          <w:sz w:val="32"/>
          <w:szCs w:val="32"/>
        </w:rPr>
        <w:t>（九）社会保障和就业支出（类）行政事业单位养老支出（款）其他行政事业单位养老支出（项）：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（十）社会保障和就业支出（类）其他社会保障和就业支出（款）其他社会保障和就业支出（项）:</w:t>
      </w:r>
      <w:r>
        <w:rPr>
          <w:rFonts w:hint="eastAsia" w:ascii="仿宋_GB2312" w:hAnsi="仿宋" w:eastAsia="仿宋_GB2312"/>
          <w:bCs/>
          <w:spacing w:val="-6"/>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（十一）卫生健康支出（类）行政事业单位医疗（款）行政单位医疗（项）：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（十二）卫生健康支出（类）行政事业单位医疗（款）事业单位医疗（项）：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rFonts w:ascii="仿宋_GB2312" w:eastAsia="仿宋_GB2312"/>
          <w:sz w:val="32"/>
          <w:szCs w:val="32"/>
        </w:rPr>
      </w:pPr>
      <w:r>
        <w:rPr>
          <w:rFonts w:hint="eastAsia" w:ascii="仿宋_GB2312" w:eastAsia="仿宋_GB2312"/>
          <w:b/>
          <w:bCs/>
          <w:sz w:val="32"/>
          <w:szCs w:val="32"/>
        </w:rPr>
        <w:t>（十三）卫生健康支出（类）行政事业单位医疗（款）公务员医疗补助（项）：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sz w:val="32"/>
          <w:szCs w:val="32"/>
        </w:rPr>
      </w:pPr>
      <w:r>
        <w:rPr>
          <w:rFonts w:hint="eastAsia" w:ascii="仿宋_GB2312" w:eastAsia="仿宋_GB2312"/>
          <w:b/>
          <w:bCs/>
          <w:sz w:val="32"/>
          <w:szCs w:val="32"/>
        </w:rPr>
        <w:t>（十四）住房保障支出（类）住房改革支出（款）住房公积金（项）：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4FF"/>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B606C"/>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2F2C9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2EF5"/>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D5DDB"/>
    <w:rsid w:val="00EE1E4E"/>
    <w:rsid w:val="00EE73D4"/>
    <w:rsid w:val="00EF04D0"/>
    <w:rsid w:val="00EF1BD9"/>
    <w:rsid w:val="00EF4B98"/>
    <w:rsid w:val="00F02DC6"/>
    <w:rsid w:val="00F07AA5"/>
    <w:rsid w:val="00F07F8F"/>
    <w:rsid w:val="00F11C0E"/>
    <w:rsid w:val="00F16635"/>
    <w:rsid w:val="00F17BBD"/>
    <w:rsid w:val="00F2177F"/>
    <w:rsid w:val="00F25E2D"/>
    <w:rsid w:val="00F3746A"/>
    <w:rsid w:val="00F378FF"/>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AC406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22229E"/>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A87085"/>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090E01"/>
    <w:rsid w:val="241035B6"/>
    <w:rsid w:val="24173588"/>
    <w:rsid w:val="248400FD"/>
    <w:rsid w:val="24BB5C18"/>
    <w:rsid w:val="24D52712"/>
    <w:rsid w:val="24F744DF"/>
    <w:rsid w:val="250255F5"/>
    <w:rsid w:val="2504136D"/>
    <w:rsid w:val="2521146B"/>
    <w:rsid w:val="25216B98"/>
    <w:rsid w:val="2522492D"/>
    <w:rsid w:val="25347FF8"/>
    <w:rsid w:val="255B3E43"/>
    <w:rsid w:val="25627E42"/>
    <w:rsid w:val="25AE3087"/>
    <w:rsid w:val="25B20DC9"/>
    <w:rsid w:val="25DE2FF9"/>
    <w:rsid w:val="25EE5B79"/>
    <w:rsid w:val="25F90E12"/>
    <w:rsid w:val="260B672B"/>
    <w:rsid w:val="2628108B"/>
    <w:rsid w:val="2652435A"/>
    <w:rsid w:val="26A56376"/>
    <w:rsid w:val="26AD6772"/>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05DAB"/>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823E37"/>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097C5B"/>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140EA"/>
    <w:rsid w:val="3FDD6F27"/>
    <w:rsid w:val="3FEA0D08"/>
    <w:rsid w:val="402406BD"/>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646376"/>
    <w:rsid w:val="47CB42B8"/>
    <w:rsid w:val="47F210A1"/>
    <w:rsid w:val="47F41D83"/>
    <w:rsid w:val="48226D7F"/>
    <w:rsid w:val="482C45B3"/>
    <w:rsid w:val="483E7E42"/>
    <w:rsid w:val="48894852"/>
    <w:rsid w:val="48977AA3"/>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96BDF"/>
    <w:rsid w:val="566B0279"/>
    <w:rsid w:val="568775D5"/>
    <w:rsid w:val="568E4899"/>
    <w:rsid w:val="574C75CB"/>
    <w:rsid w:val="575651A9"/>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7693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AD3A56"/>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32D91"/>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4F93B2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style>
  <w:style w:type="paragraph" w:styleId="4">
    <w:name w:val="Body Text Indent"/>
    <w:basedOn w:val="1"/>
    <w:qFormat/>
    <w:uiPriority w:val="0"/>
    <w:pPr>
      <w:spacing w:after="120"/>
      <w:ind w:left="420" w:leftChars="200"/>
    </w:p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style>
  <w:style w:type="character" w:styleId="11">
    <w:name w:val="page number"/>
    <w:basedOn w:val="10"/>
    <w:qFormat/>
    <w:uiPriority w:val="0"/>
  </w:style>
  <w:style w:type="character" w:customStyle="1" w:styleId="12">
    <w:name w:val="批注框文本 Char"/>
    <w:link w:val="5"/>
    <w:semiHidden/>
    <w:qFormat/>
    <w:uiPriority w:val="99"/>
    <w:rPr>
      <w:rFonts w:ascii="Times New Roman" w:hAnsi="Times New Roman"/>
      <w:kern w:val="2"/>
      <w:sz w:val="18"/>
      <w:szCs w:val="18"/>
    </w:rPr>
  </w:style>
  <w:style w:type="character" w:customStyle="1" w:styleId="13">
    <w:name w:val="页脚 Char"/>
    <w:link w:val="6"/>
    <w:qFormat/>
    <w:uiPriority w:val="99"/>
    <w:rPr>
      <w:rFonts w:ascii="Times New Roman" w:hAnsi="Times New Roman"/>
      <w:kern w:val="2"/>
      <w:sz w:val="18"/>
      <w:szCs w:val="18"/>
    </w:rPr>
  </w:style>
  <w:style w:type="character" w:customStyle="1" w:styleId="14">
    <w:name w:val="页眉 Char"/>
    <w:link w:val="7"/>
    <w:qFormat/>
    <w:uiPriority w:val="99"/>
    <w:rPr>
      <w:rFonts w:ascii="Times New Roman" w:hAnsi="Times New Roman"/>
      <w:kern w:val="2"/>
      <w:sz w:val="18"/>
      <w:szCs w:val="18"/>
    </w:rPr>
  </w:style>
  <w:style w:type="paragraph" w:styleId="15">
    <w:name w:val="List Paragraph"/>
    <w:basedOn w:val="1"/>
    <w:qFormat/>
    <w:uiPriority w:val="34"/>
    <w:pPr>
      <w:ind w:firstLine="420" w:firstLineChars="200"/>
    </w:pPr>
  </w:style>
  <w:style w:type="paragraph" w:styleId="16">
    <w:name w:val="No Spacing"/>
    <w:link w:val="17"/>
    <w:qFormat/>
    <w:uiPriority w:val="0"/>
    <w:rPr>
      <w:rFonts w:ascii="Calibri" w:hAnsi="Calibri" w:eastAsia="宋体" w:cs="Times New Roman"/>
      <w:sz w:val="22"/>
      <w:szCs w:val="22"/>
      <w:lang w:val="en-US" w:eastAsia="zh-CN" w:bidi="ar-SA"/>
    </w:rPr>
  </w:style>
  <w:style w:type="character" w:customStyle="1" w:styleId="17">
    <w:name w:val="无间隔 Char"/>
    <w:link w:val="16"/>
    <w:qFormat/>
    <w:uiPriority w:val="0"/>
    <w:rPr>
      <w:sz w:val="22"/>
      <w:szCs w:val="22"/>
      <w:lang w:bidi="ar-SA"/>
    </w:rPr>
  </w:style>
  <w:style w:type="paragraph" w:customStyle="1" w:styleId="18">
    <w:name w:val="正文1"/>
    <w:basedOn w:val="1"/>
    <w:qFormat/>
    <w:uiPriority w:val="0"/>
    <w:pPr>
      <w:widowControl/>
    </w:pPr>
    <w:rPr>
      <w:rFonts w:eastAsia="Times New Roman"/>
      <w:kern w:val="0"/>
      <w:lang w:val="zh-CN"/>
    </w:rPr>
  </w:style>
  <w:style w:type="character" w:customStyle="1" w:styleId="19">
    <w:name w:val="font7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8134</Words>
  <Characters>9801</Characters>
  <Lines>28</Lines>
  <Paragraphs>23</Paragraphs>
  <TotalTime>0</TotalTime>
  <ScaleCrop>false</ScaleCrop>
  <LinksUpToDate>false</LinksUpToDate>
  <CharactersWithSpaces>9917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2023-06-06T01:51:00Z</dcterms:created>
  <dc:creator>王炜(部门内部人)</dc:creator>
  <cp:lastModifiedBy>大琹</cp:lastModifiedBy>
  <cp:lastPrinted>2021-01-31T19:43:00Z</cp:lastPrinted>
  <dcterms:modified xsi:type="dcterms:W3CDTF">2023-06-08T07:46:40Z</dcterms:modified>
  <dc:title>×××部门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72591BB0200B4D3AA28706A724840C15_13</vt:lpwstr>
  </property>
</Properties>
</file>