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tcPr>
          <w:p>
            <w:pPr>
              <w:pStyle w:val="16"/>
              <w:rPr>
                <w:rFonts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vAlign w:val="center"/>
          </w:tcPr>
          <w:p>
            <w:pPr>
              <w:pStyle w:val="16"/>
              <w:jc w:val="center"/>
              <w:rPr>
                <w:rFonts w:ascii="Cambria" w:hAnsi="Cambria"/>
                <w:b/>
                <w:sz w:val="80"/>
                <w:szCs w:val="80"/>
              </w:rPr>
            </w:pPr>
            <w:r>
              <w:rPr>
                <w:rFonts w:hint="eastAsia" w:ascii="Cambria" w:hAnsi="Cambria"/>
                <w:b/>
                <w:sz w:val="80"/>
                <w:szCs w:val="80"/>
              </w:rPr>
              <w:t>湟源县司法局</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vAlign w:val="center"/>
          </w:tcPr>
          <w:p>
            <w:pPr>
              <w:pStyle w:val="16"/>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vAlign w:val="center"/>
          </w:tcPr>
          <w:p>
            <w:pPr>
              <w:pStyle w:val="16"/>
              <w:jc w:val="center"/>
            </w:pPr>
          </w:p>
        </w:tc>
      </w:tr>
    </w:tbl>
    <w:p/>
    <w:tbl>
      <w:tblPr>
        <w:tblStyle w:val="9"/>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tcPr>
          <w:p>
            <w:pPr>
              <w:pStyle w:val="16"/>
            </w:pPr>
          </w:p>
        </w:tc>
      </w:tr>
    </w:tbl>
    <w:p>
      <w:pPr>
        <w:jc w:val="center"/>
        <w:rPr>
          <w:rFonts w:ascii="华文琥珀" w:hAnsi="楷体" w:eastAsia="华文琥珀"/>
          <w:sz w:val="84"/>
          <w:szCs w:val="84"/>
        </w:rPr>
      </w:pPr>
      <w:r>
        <w:rPr>
          <w:rFonts w:hint="eastAsia" w:ascii="华文琥珀" w:hAnsi="楷体" w:eastAsia="华文琥珀"/>
          <w:sz w:val="84"/>
          <w:szCs w:val="84"/>
        </w:rPr>
        <w:t>2023</w:t>
      </w:r>
      <w:r>
        <w:rPr>
          <w:rFonts w:hint="eastAsia" w:ascii="华文琥珀" w:hAnsi="楷体" w:eastAsia="华文琥珀"/>
          <w:sz w:val="84"/>
          <w:szCs w:val="84"/>
          <w:lang w:val="zh-CN"/>
        </w:rPr>
        <w:t>年部门预算</w:t>
      </w:r>
    </w:p>
    <w:p/>
    <w:p/>
    <w:p/>
    <w:p/>
    <w:p/>
    <w:p/>
    <w:p/>
    <w:p/>
    <w:p/>
    <w:p/>
    <w:p/>
    <w:p/>
    <w:p/>
    <w:p/>
    <w:p/>
    <w:p/>
    <w:p/>
    <w:p/>
    <w:p>
      <w:pPr>
        <w:adjustRightInd w:val="0"/>
        <w:snapToGrid w:val="0"/>
        <w:spacing w:line="560" w:lineRule="exact"/>
        <w:jc w:val="center"/>
        <w:rPr>
          <w:rFonts w:ascii="仿宋" w:hAnsi="仿宋" w:eastAsia="仿宋"/>
          <w:color w:val="000000"/>
          <w:sz w:val="32"/>
          <w:szCs w:val="32"/>
        </w:rPr>
      </w:pPr>
    </w:p>
    <w:p>
      <w:pPr>
        <w:adjustRightInd w:val="0"/>
        <w:snapToGrid w:val="0"/>
        <w:spacing w:line="560" w:lineRule="exact"/>
        <w:ind w:firstLine="720" w:firstLineChars="200"/>
        <w:jc w:val="center"/>
        <w:rPr>
          <w:rFonts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ascii="小标宋" w:eastAsia="小标宋"/>
          <w:color w:val="000000"/>
          <w:sz w:val="36"/>
          <w:szCs w:val="36"/>
        </w:rPr>
      </w:pP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第一部分  部门概况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二、机构设置</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三、部门预算部门构成</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第二部分  部门预算表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rPr>
        <w:t>部门预算情况说明</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第一部分　部门概况</w:t>
      </w:r>
    </w:p>
    <w:p>
      <w:pPr>
        <w:adjustRightInd w:val="0"/>
        <w:snapToGrid w:val="0"/>
        <w:spacing w:line="560" w:lineRule="exact"/>
        <w:ind w:firstLine="600" w:firstLineChars="200"/>
        <w:rPr>
          <w:rFonts w:ascii="黑体" w:eastAsia="黑体"/>
          <w:color w:val="000000"/>
          <w:sz w:val="30"/>
          <w:szCs w:val="30"/>
        </w:rPr>
      </w:pP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（一）贯彻执行国家和省、市、县有关司法行政的方针政策和法律法规；拟订司法行政工作发展规划并组织实施。</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全面承担依法治县重大问题的政策研究，协调有关方面提出全面依法治县长期规划建议，负责有关重大决策部署督查工作。组织开展政府法制理论、政府法治建设工作研究和宣传，调查研究依法行政和法治政府建设中出现的新情况、新问题，提出推进依法行政的具体措施和工作建议。</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（三）承担统筹推进法治政府建设的责任。拟订全县法制政府建设总体规划；承担政府法制培训任务；指导、监督各乡镇人民政府、县政府各部门依法行政，负责依法行政工作的规划、考核和实施工作。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(四)负责县政府行政规范性文件的合法性审查工作。负责行政规范性文件的备案审查工作。组织开展行政规范性文件的清理工作。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（五）负责综合协调行政执法，承担推进行政执法体制改革的有关工作，推进严格规范公正文明执法。</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（六）拟定法制宣传规划和依法治理工作纲要并组织实施。</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（七）负责公共法律服务体系建设规划的实施，负责基层司法所建设、人民调解、社区矫正、基层法律服务和安置帮教工作。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（八）负责指导和监督律师、公证和法律援助工作并承担相应的职责，指导法律顾问工作。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(九)完成县委、县政府交办的其他任务。</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二、机构设置</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其中下设综合室、公共法律服务室、法治综合工作室、社区矫正管理室、公共法律服务管理室（法律援助中心）、9个乡镇司法所及1个公证处。</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三、部门预算部门构成</w:t>
      </w:r>
    </w:p>
    <w:p>
      <w:pPr>
        <w:ind w:firstLine="640" w:firstLineChars="200"/>
        <w:rPr>
          <w:rFonts w:hint="eastAsia" w:ascii="仿宋_GB2312" w:eastAsia="仿宋_GB2312"/>
          <w:sz w:val="32"/>
          <w:szCs w:val="32"/>
        </w:rPr>
      </w:pPr>
      <w:r>
        <w:rPr>
          <w:rFonts w:hint="eastAsia" w:ascii="仿宋_GB2312" w:eastAsia="仿宋_GB2312"/>
          <w:sz w:val="32"/>
          <w:szCs w:val="32"/>
        </w:rPr>
        <w:t>纳入</w:t>
      </w:r>
      <w:r>
        <w:rPr>
          <w:rFonts w:hint="eastAsia" w:ascii="仿宋_GB2312" w:eastAsia="仿宋_GB2312"/>
          <w:sz w:val="32"/>
          <w:szCs w:val="32"/>
          <w:lang w:val="en-US" w:eastAsia="zh-CN"/>
        </w:rPr>
        <w:t>湟源县司法局</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年部门预算编制范围的二级预算单位包括：</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rPr>
          <w:rFonts w:ascii="仿宋_GB2312" w:eastAsia="仿宋_GB2312"/>
          <w:color w:val="000000"/>
          <w:sz w:val="30"/>
          <w:szCs w:val="30"/>
        </w:rPr>
      </w:pPr>
      <w:r>
        <w:rPr>
          <w:rFonts w:ascii="仿宋_GB2312" w:eastAsia="仿宋_GB2312"/>
          <w:color w:val="000000"/>
          <w:sz w:val="30"/>
          <w:szCs w:val="30"/>
        </w:rPr>
        <w:br w:type="page"/>
      </w: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第二部分  部门预算表</w:t>
      </w:r>
    </w:p>
    <w:tbl>
      <w:tblPr>
        <w:tblStyle w:val="9"/>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vAlign w:val="center"/>
          </w:tcPr>
          <w:p>
            <w:pPr>
              <w:widowControl/>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1292.51</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975.11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174.12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81.06</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62.24</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1292.51</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1292.53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0.02</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1292.53</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1292.53</w:t>
            </w:r>
          </w:p>
        </w:tc>
      </w:tr>
    </w:tbl>
    <w:p>
      <w:pPr>
        <w:rPr>
          <w:rFonts w:ascii="仿宋_GB2312" w:eastAsia="仿宋_GB2312"/>
          <w:sz w:val="32"/>
          <w:szCs w:val="32"/>
        </w:rPr>
      </w:pPr>
    </w:p>
    <w:tbl>
      <w:tblPr>
        <w:tblStyle w:val="9"/>
        <w:tblpPr w:leftFromText="180" w:rightFromText="180" w:vertAnchor="text" w:horzAnchor="page" w:tblpXSpec="center" w:tblpY="618"/>
        <w:tblOverlap w:val="never"/>
        <w:tblW w:w="11531" w:type="dxa"/>
        <w:jc w:val="center"/>
        <w:tblLayout w:type="fixed"/>
        <w:tblCellMar>
          <w:top w:w="0" w:type="dxa"/>
          <w:left w:w="108" w:type="dxa"/>
          <w:bottom w:w="0" w:type="dxa"/>
          <w:right w:w="108" w:type="dxa"/>
        </w:tblCellMar>
      </w:tblPr>
      <w:tblGrid>
        <w:gridCol w:w="1091"/>
        <w:gridCol w:w="1087"/>
        <w:gridCol w:w="956"/>
        <w:gridCol w:w="1084"/>
        <w:gridCol w:w="914"/>
        <w:gridCol w:w="914"/>
        <w:gridCol w:w="914"/>
        <w:gridCol w:w="914"/>
        <w:gridCol w:w="914"/>
        <w:gridCol w:w="914"/>
        <w:gridCol w:w="914"/>
        <w:gridCol w:w="915"/>
      </w:tblGrid>
      <w:tr>
        <w:trPr>
          <w:trHeight w:val="392" w:hRule="atLeast"/>
          <w:jc w:val="center"/>
        </w:trPr>
        <w:tc>
          <w:tcPr>
            <w:tcW w:w="11531"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531"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531" w:type="dxa"/>
            <w:gridSpan w:val="12"/>
            <w:tcBorders>
              <w:top w:val="nil"/>
              <w:left w:val="nil"/>
              <w:bottom w:val="single" w:color="auto" w:sz="4" w:space="0"/>
              <w:right w:val="nil"/>
            </w:tcBorders>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0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预算部门</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政府性基金预算拨款收入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附属部门上缴收入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事业部门经营收入</w:t>
            </w:r>
          </w:p>
        </w:tc>
        <w:tc>
          <w:tcPr>
            <w:tcW w:w="9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09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p>
        </w:tc>
        <w:tc>
          <w:tcPr>
            <w:tcW w:w="108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1292.53</w:t>
            </w:r>
          </w:p>
        </w:tc>
        <w:tc>
          <w:tcPr>
            <w:tcW w:w="9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0.02</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1292.51</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9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湟源县司法局</w:t>
            </w:r>
          </w:p>
        </w:tc>
        <w:tc>
          <w:tcPr>
            <w:tcW w:w="108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1292.53</w:t>
            </w:r>
          </w:p>
        </w:tc>
        <w:tc>
          <w:tcPr>
            <w:tcW w:w="9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0.02</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1292.51</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9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湟源县司法局（本级）</w:t>
            </w:r>
          </w:p>
        </w:tc>
        <w:tc>
          <w:tcPr>
            <w:tcW w:w="108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1292.53</w:t>
            </w:r>
          </w:p>
        </w:tc>
        <w:tc>
          <w:tcPr>
            <w:tcW w:w="9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0.02</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1292.51</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bl>
    <w:p>
      <w:pPr>
        <w:rPr>
          <w:rFonts w:ascii="仿宋_GB2312" w:eastAsia="仿宋_GB2312"/>
          <w:sz w:val="32"/>
          <w:szCs w:val="32"/>
        </w:rPr>
      </w:pPr>
      <w:r>
        <w:rPr>
          <w:rFonts w:hint="eastAsia" w:ascii="仿宋_GB2312" w:eastAsia="仿宋_GB2312"/>
          <w:sz w:val="32"/>
          <w:szCs w:val="32"/>
        </w:rPr>
        <w:br w:type="page"/>
      </w:r>
    </w:p>
    <w:tbl>
      <w:tblPr>
        <w:tblStyle w:val="9"/>
        <w:tblW w:w="11568" w:type="dxa"/>
        <w:jc w:val="center"/>
        <w:tblLayout w:type="fixed"/>
        <w:tblCellMar>
          <w:top w:w="0" w:type="dxa"/>
          <w:left w:w="108" w:type="dxa"/>
          <w:bottom w:w="0" w:type="dxa"/>
          <w:right w:w="108" w:type="dxa"/>
        </w:tblCellMar>
      </w:tblPr>
      <w:tblGrid>
        <w:gridCol w:w="1100"/>
        <w:gridCol w:w="3781"/>
        <w:gridCol w:w="1114"/>
        <w:gridCol w:w="1114"/>
        <w:gridCol w:w="1114"/>
        <w:gridCol w:w="1114"/>
        <w:gridCol w:w="1114"/>
        <w:gridCol w:w="1117"/>
      </w:tblGrid>
      <w:tr>
        <w:tblPrEx>
          <w:tblCellMar>
            <w:top w:w="0" w:type="dxa"/>
            <w:left w:w="108" w:type="dxa"/>
            <w:bottom w:w="0" w:type="dxa"/>
            <w:right w:w="108" w:type="dxa"/>
          </w:tblCellMar>
        </w:tblPrEx>
        <w:trPr>
          <w:trHeight w:val="187" w:hRule="atLeast"/>
          <w:jc w:val="center"/>
        </w:trPr>
        <w:tc>
          <w:tcPr>
            <w:tcW w:w="11568"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rPr>
              <w:t>部门公开表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568"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568" w:type="dxa"/>
            <w:gridSpan w:val="8"/>
            <w:tcBorders>
              <w:top w:val="nil"/>
              <w:left w:val="nil"/>
              <w:bottom w:val="single" w:color="auto" w:sz="4" w:space="0"/>
              <w:right w:val="nil"/>
            </w:tcBorders>
            <w:shd w:val="clear" w:color="auto" w:fill="FFFFFF"/>
            <w:noWrap/>
            <w:vAlign w:val="center"/>
          </w:tcPr>
          <w:p>
            <w:pPr>
              <w:widowControl/>
              <w:jc w:val="right"/>
              <w:rPr>
                <w:rFonts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事业部门经营支出</w:t>
            </w:r>
          </w:p>
        </w:tc>
        <w:tc>
          <w:tcPr>
            <w:tcW w:w="11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对附属部门补助支出</w:t>
            </w:r>
          </w:p>
        </w:tc>
      </w:tr>
      <w:tr>
        <w:tblPrEx>
          <w:tblCellMar>
            <w:top w:w="0" w:type="dxa"/>
            <w:left w:w="108" w:type="dxa"/>
            <w:bottom w:w="0" w:type="dxa"/>
            <w:right w:w="108" w:type="dxa"/>
          </w:tblCellMar>
        </w:tblPrEx>
        <w:trPr>
          <w:trHeight w:val="324" w:hRule="atLeast"/>
          <w:jc w:val="center"/>
        </w:trPr>
        <w:tc>
          <w:tcPr>
            <w:tcW w:w="488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1292.53</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973.51</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319.02</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204</w:t>
            </w:r>
          </w:p>
        </w:tc>
        <w:tc>
          <w:tcPr>
            <w:tcW w:w="37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公共安全支出</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975.11</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656.09</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319.02</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20406</w:t>
            </w:r>
          </w:p>
        </w:tc>
        <w:tc>
          <w:tcPr>
            <w:tcW w:w="37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司法</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975.11</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656.09</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319.02</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2040601</w:t>
            </w:r>
          </w:p>
        </w:tc>
        <w:tc>
          <w:tcPr>
            <w:tcW w:w="37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行政运行</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656.09</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656.09</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2040604</w:t>
            </w:r>
          </w:p>
        </w:tc>
        <w:tc>
          <w:tcPr>
            <w:tcW w:w="37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基层司法业务</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9.00</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9.00</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2040605</w:t>
            </w:r>
          </w:p>
        </w:tc>
        <w:tc>
          <w:tcPr>
            <w:tcW w:w="37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普法宣传</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3.00</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3.00</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2040606</w:t>
            </w:r>
          </w:p>
        </w:tc>
        <w:tc>
          <w:tcPr>
            <w:tcW w:w="37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律师管理</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10.00</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10.00</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2040610</w:t>
            </w:r>
          </w:p>
        </w:tc>
        <w:tc>
          <w:tcPr>
            <w:tcW w:w="37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社区矫正</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8.00</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8.00</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2040699</w:t>
            </w:r>
          </w:p>
        </w:tc>
        <w:tc>
          <w:tcPr>
            <w:tcW w:w="37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其他司法支出</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289.02</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289.02</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w:t>
            </w:r>
          </w:p>
        </w:tc>
        <w:tc>
          <w:tcPr>
            <w:tcW w:w="37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社会保障和就业支出</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174.12</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174.12</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w:t>
            </w:r>
          </w:p>
        </w:tc>
        <w:tc>
          <w:tcPr>
            <w:tcW w:w="37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行政事业单位养老支出</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173.01</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173.01</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2080505</w:t>
            </w:r>
          </w:p>
        </w:tc>
        <w:tc>
          <w:tcPr>
            <w:tcW w:w="37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机关事业单位基本养老保险缴费支出</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66.74</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66.74</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2080506</w:t>
            </w:r>
          </w:p>
        </w:tc>
        <w:tc>
          <w:tcPr>
            <w:tcW w:w="37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机关事业单位职业年金缴费支出</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33.37</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33.37</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2080599</w:t>
            </w:r>
          </w:p>
        </w:tc>
        <w:tc>
          <w:tcPr>
            <w:tcW w:w="37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其他行政事业单位养老支出</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72.90</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72.90</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20899</w:t>
            </w:r>
          </w:p>
        </w:tc>
        <w:tc>
          <w:tcPr>
            <w:tcW w:w="37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其他社会保障和就业支出</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1.11</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1.11</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2089999</w:t>
            </w:r>
          </w:p>
        </w:tc>
        <w:tc>
          <w:tcPr>
            <w:tcW w:w="37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其他社会保障和就业支出</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1.11</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1.11</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w:t>
            </w:r>
          </w:p>
        </w:tc>
        <w:tc>
          <w:tcPr>
            <w:tcW w:w="37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卫生健康支出</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81.06</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81.06</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w:t>
            </w:r>
          </w:p>
        </w:tc>
        <w:tc>
          <w:tcPr>
            <w:tcW w:w="37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行政事业单位医疗</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81.06</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81.06</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2101101</w:t>
            </w:r>
          </w:p>
        </w:tc>
        <w:tc>
          <w:tcPr>
            <w:tcW w:w="37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行政单位医疗</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44.99</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44.99</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2101102</w:t>
            </w:r>
          </w:p>
        </w:tc>
        <w:tc>
          <w:tcPr>
            <w:tcW w:w="37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事业单位医疗</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4.00</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4.00</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2101103</w:t>
            </w:r>
          </w:p>
        </w:tc>
        <w:tc>
          <w:tcPr>
            <w:tcW w:w="37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公务员医疗补助</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32.07</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32.07</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w:t>
            </w:r>
          </w:p>
        </w:tc>
        <w:tc>
          <w:tcPr>
            <w:tcW w:w="37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住房保障支出</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62.24</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62.24</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w:t>
            </w:r>
          </w:p>
        </w:tc>
        <w:tc>
          <w:tcPr>
            <w:tcW w:w="37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住房改革支出</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62.24</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62.24</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2210201</w:t>
            </w:r>
          </w:p>
        </w:tc>
        <w:tc>
          <w:tcPr>
            <w:tcW w:w="37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住房公积金</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62.24</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62.24</w:t>
            </w: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bl>
    <w:p>
      <w:r>
        <w:br w:type="page"/>
      </w:r>
    </w:p>
    <w:tbl>
      <w:tblPr>
        <w:tblStyle w:val="9"/>
        <w:tblpPr w:leftFromText="180" w:rightFromText="180" w:vertAnchor="text" w:horzAnchor="page" w:tblpXSpec="center" w:tblpY="183"/>
        <w:tblOverlap w:val="never"/>
        <w:tblW w:w="98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8"/>
        <w:gridCol w:w="1084"/>
        <w:gridCol w:w="1751"/>
        <w:gridCol w:w="1218"/>
        <w:gridCol w:w="1362"/>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02" w:type="dxa"/>
            <w:gridSpan w:val="6"/>
            <w:tcBorders>
              <w:top w:val="nil"/>
              <w:left w:val="nil"/>
              <w:bottom w:val="nil"/>
              <w:right w:val="nil"/>
            </w:tcBorders>
            <w:vAlign w:val="center"/>
          </w:tcPr>
          <w:p>
            <w:pPr>
              <w:widowControl/>
              <w:ind w:right="201"/>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02"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02"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32"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5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218"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36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33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 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1292.51</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一、本年支出</w:t>
            </w:r>
          </w:p>
        </w:tc>
        <w:tc>
          <w:tcPr>
            <w:tcW w:w="1218"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1292.53</w:t>
            </w:r>
          </w:p>
        </w:tc>
        <w:tc>
          <w:tcPr>
            <w:tcW w:w="136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1292.53</w:t>
            </w: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1292.51</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（一）一般公共服务支出</w:t>
            </w:r>
          </w:p>
        </w:tc>
        <w:tc>
          <w:tcPr>
            <w:tcW w:w="1218" w:type="dxa"/>
            <w:shd w:val="clear" w:color="auto" w:fill="FFFFFF"/>
            <w:noWrap/>
            <w:vAlign w:val="center"/>
          </w:tcPr>
          <w:p>
            <w:pPr>
              <w:widowControl/>
              <w:jc w:val="center"/>
              <w:rPr>
                <w:rFonts w:ascii="宋体" w:hAnsi="宋体" w:cs="宋体"/>
                <w:kern w:val="0"/>
                <w:sz w:val="20"/>
              </w:rPr>
            </w:pPr>
          </w:p>
        </w:tc>
        <w:tc>
          <w:tcPr>
            <w:tcW w:w="1362"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（二）政府性基金预算拨款收入</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（二）外交支出</w:t>
            </w:r>
          </w:p>
        </w:tc>
        <w:tc>
          <w:tcPr>
            <w:tcW w:w="1218" w:type="dxa"/>
            <w:shd w:val="clear" w:color="auto" w:fill="FFFFFF"/>
            <w:noWrap/>
            <w:vAlign w:val="center"/>
          </w:tcPr>
          <w:p>
            <w:pPr>
              <w:widowControl/>
              <w:jc w:val="center"/>
              <w:rPr>
                <w:rFonts w:ascii="宋体" w:hAnsi="宋体" w:cs="宋体"/>
                <w:kern w:val="0"/>
                <w:sz w:val="20"/>
              </w:rPr>
            </w:pPr>
          </w:p>
        </w:tc>
        <w:tc>
          <w:tcPr>
            <w:tcW w:w="1362"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（三）国防支出</w:t>
            </w:r>
          </w:p>
        </w:tc>
        <w:tc>
          <w:tcPr>
            <w:tcW w:w="1218" w:type="dxa"/>
            <w:shd w:val="clear" w:color="auto" w:fill="FFFFFF"/>
            <w:noWrap/>
            <w:vAlign w:val="center"/>
          </w:tcPr>
          <w:p>
            <w:pPr>
              <w:widowControl/>
              <w:jc w:val="center"/>
              <w:rPr>
                <w:rFonts w:ascii="宋体" w:hAnsi="宋体" w:cs="宋体"/>
                <w:kern w:val="0"/>
                <w:sz w:val="20"/>
              </w:rPr>
            </w:pPr>
          </w:p>
        </w:tc>
        <w:tc>
          <w:tcPr>
            <w:tcW w:w="1362"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（四）公共安全支出</w:t>
            </w:r>
          </w:p>
        </w:tc>
        <w:tc>
          <w:tcPr>
            <w:tcW w:w="1218"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975.11</w:t>
            </w:r>
          </w:p>
        </w:tc>
        <w:tc>
          <w:tcPr>
            <w:tcW w:w="136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975.11</w:t>
            </w: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（五）教育支出</w:t>
            </w:r>
          </w:p>
        </w:tc>
        <w:tc>
          <w:tcPr>
            <w:tcW w:w="1218" w:type="dxa"/>
            <w:shd w:val="clear" w:color="auto" w:fill="FFFFFF"/>
            <w:noWrap/>
            <w:vAlign w:val="center"/>
          </w:tcPr>
          <w:p>
            <w:pPr>
              <w:widowControl/>
              <w:jc w:val="center"/>
              <w:rPr>
                <w:rFonts w:ascii="宋体" w:hAnsi="宋体" w:cs="宋体"/>
                <w:kern w:val="0"/>
                <w:sz w:val="20"/>
              </w:rPr>
            </w:pPr>
          </w:p>
        </w:tc>
        <w:tc>
          <w:tcPr>
            <w:tcW w:w="1362"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（六）科学技术支出</w:t>
            </w:r>
          </w:p>
        </w:tc>
        <w:tc>
          <w:tcPr>
            <w:tcW w:w="1218" w:type="dxa"/>
            <w:shd w:val="clear" w:color="auto" w:fill="FFFFFF"/>
            <w:noWrap/>
            <w:vAlign w:val="center"/>
          </w:tcPr>
          <w:p>
            <w:pPr>
              <w:widowControl/>
              <w:jc w:val="center"/>
              <w:rPr>
                <w:rFonts w:ascii="宋体" w:hAnsi="宋体" w:cs="宋体"/>
                <w:kern w:val="0"/>
                <w:sz w:val="20"/>
              </w:rPr>
            </w:pPr>
          </w:p>
        </w:tc>
        <w:tc>
          <w:tcPr>
            <w:tcW w:w="1362"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（七）文化旅游体育与传媒支出</w:t>
            </w:r>
          </w:p>
        </w:tc>
        <w:tc>
          <w:tcPr>
            <w:tcW w:w="1218" w:type="dxa"/>
            <w:shd w:val="clear" w:color="auto" w:fill="FFFFFF"/>
            <w:noWrap/>
            <w:vAlign w:val="center"/>
          </w:tcPr>
          <w:p>
            <w:pPr>
              <w:widowControl/>
              <w:jc w:val="center"/>
              <w:rPr>
                <w:rFonts w:ascii="宋体" w:hAnsi="宋体" w:cs="宋体"/>
                <w:kern w:val="0"/>
                <w:sz w:val="20"/>
              </w:rPr>
            </w:pPr>
          </w:p>
        </w:tc>
        <w:tc>
          <w:tcPr>
            <w:tcW w:w="1362"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（八）社会保障和就业支出</w:t>
            </w:r>
          </w:p>
        </w:tc>
        <w:tc>
          <w:tcPr>
            <w:tcW w:w="1218"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174.12</w:t>
            </w:r>
          </w:p>
        </w:tc>
        <w:tc>
          <w:tcPr>
            <w:tcW w:w="136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174.12</w:t>
            </w: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（九）社会保险基金支出</w:t>
            </w:r>
          </w:p>
        </w:tc>
        <w:tc>
          <w:tcPr>
            <w:tcW w:w="1218" w:type="dxa"/>
            <w:shd w:val="clear" w:color="auto" w:fill="FFFFFF"/>
            <w:noWrap/>
            <w:vAlign w:val="center"/>
          </w:tcPr>
          <w:p>
            <w:pPr>
              <w:widowControl/>
              <w:jc w:val="center"/>
              <w:rPr>
                <w:rFonts w:ascii="宋体" w:hAnsi="宋体" w:cs="宋体"/>
                <w:kern w:val="0"/>
                <w:sz w:val="20"/>
              </w:rPr>
            </w:pPr>
          </w:p>
        </w:tc>
        <w:tc>
          <w:tcPr>
            <w:tcW w:w="1362"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（十）卫生健康支出</w:t>
            </w:r>
          </w:p>
        </w:tc>
        <w:tc>
          <w:tcPr>
            <w:tcW w:w="1218"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81.06</w:t>
            </w:r>
          </w:p>
        </w:tc>
        <w:tc>
          <w:tcPr>
            <w:tcW w:w="136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81.06</w:t>
            </w: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（十一）节能环保支出</w:t>
            </w:r>
          </w:p>
        </w:tc>
        <w:tc>
          <w:tcPr>
            <w:tcW w:w="1218" w:type="dxa"/>
            <w:shd w:val="clear" w:color="auto" w:fill="FFFFFF"/>
            <w:noWrap/>
            <w:vAlign w:val="center"/>
          </w:tcPr>
          <w:p>
            <w:pPr>
              <w:widowControl/>
              <w:jc w:val="center"/>
              <w:rPr>
                <w:rFonts w:ascii="宋体" w:hAnsi="宋体" w:cs="宋体"/>
                <w:kern w:val="0"/>
                <w:sz w:val="20"/>
              </w:rPr>
            </w:pPr>
          </w:p>
        </w:tc>
        <w:tc>
          <w:tcPr>
            <w:tcW w:w="1362"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（十二）城乡社区支出</w:t>
            </w:r>
          </w:p>
        </w:tc>
        <w:tc>
          <w:tcPr>
            <w:tcW w:w="1218" w:type="dxa"/>
            <w:shd w:val="clear" w:color="auto" w:fill="FFFFFF"/>
            <w:noWrap/>
            <w:vAlign w:val="center"/>
          </w:tcPr>
          <w:p>
            <w:pPr>
              <w:widowControl/>
              <w:jc w:val="center"/>
              <w:rPr>
                <w:rFonts w:ascii="宋体" w:hAnsi="宋体" w:cs="宋体"/>
                <w:kern w:val="0"/>
                <w:sz w:val="20"/>
              </w:rPr>
            </w:pPr>
          </w:p>
        </w:tc>
        <w:tc>
          <w:tcPr>
            <w:tcW w:w="1362"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（十三）农林水支出</w:t>
            </w:r>
          </w:p>
        </w:tc>
        <w:tc>
          <w:tcPr>
            <w:tcW w:w="1218" w:type="dxa"/>
            <w:shd w:val="clear" w:color="auto" w:fill="FFFFFF"/>
            <w:noWrap/>
            <w:vAlign w:val="center"/>
          </w:tcPr>
          <w:p>
            <w:pPr>
              <w:widowControl/>
              <w:jc w:val="center"/>
              <w:rPr>
                <w:rFonts w:ascii="宋体" w:hAnsi="宋体" w:cs="宋体"/>
                <w:kern w:val="0"/>
                <w:sz w:val="20"/>
              </w:rPr>
            </w:pPr>
          </w:p>
        </w:tc>
        <w:tc>
          <w:tcPr>
            <w:tcW w:w="1362"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（十四）交通运输支出</w:t>
            </w:r>
          </w:p>
        </w:tc>
        <w:tc>
          <w:tcPr>
            <w:tcW w:w="1218" w:type="dxa"/>
            <w:shd w:val="clear" w:color="auto" w:fill="FFFFFF"/>
            <w:noWrap/>
            <w:vAlign w:val="center"/>
          </w:tcPr>
          <w:p>
            <w:pPr>
              <w:widowControl/>
              <w:jc w:val="center"/>
              <w:rPr>
                <w:rFonts w:ascii="宋体" w:hAnsi="宋体" w:cs="宋体"/>
                <w:kern w:val="0"/>
                <w:sz w:val="20"/>
              </w:rPr>
            </w:pPr>
          </w:p>
        </w:tc>
        <w:tc>
          <w:tcPr>
            <w:tcW w:w="1362"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（十五）资源勘探工业信息等支出</w:t>
            </w:r>
          </w:p>
        </w:tc>
        <w:tc>
          <w:tcPr>
            <w:tcW w:w="1218" w:type="dxa"/>
            <w:shd w:val="clear" w:color="auto" w:fill="FFFFFF"/>
            <w:noWrap/>
            <w:vAlign w:val="center"/>
          </w:tcPr>
          <w:p>
            <w:pPr>
              <w:widowControl/>
              <w:jc w:val="center"/>
              <w:rPr>
                <w:rFonts w:ascii="宋体" w:hAnsi="宋体" w:cs="宋体"/>
                <w:kern w:val="0"/>
                <w:sz w:val="20"/>
              </w:rPr>
            </w:pPr>
          </w:p>
        </w:tc>
        <w:tc>
          <w:tcPr>
            <w:tcW w:w="1362"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（十六）商业服务业等支出</w:t>
            </w:r>
          </w:p>
        </w:tc>
        <w:tc>
          <w:tcPr>
            <w:tcW w:w="1218" w:type="dxa"/>
            <w:shd w:val="clear" w:color="auto" w:fill="FFFFFF"/>
            <w:noWrap/>
            <w:vAlign w:val="center"/>
          </w:tcPr>
          <w:p>
            <w:pPr>
              <w:widowControl/>
              <w:jc w:val="center"/>
              <w:rPr>
                <w:rFonts w:ascii="宋体" w:hAnsi="宋体" w:cs="宋体"/>
                <w:kern w:val="0"/>
                <w:sz w:val="20"/>
              </w:rPr>
            </w:pPr>
          </w:p>
        </w:tc>
        <w:tc>
          <w:tcPr>
            <w:tcW w:w="1362"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（十七）金融支出</w:t>
            </w:r>
          </w:p>
        </w:tc>
        <w:tc>
          <w:tcPr>
            <w:tcW w:w="1218" w:type="dxa"/>
            <w:shd w:val="clear" w:color="auto" w:fill="FFFFFF"/>
            <w:noWrap/>
            <w:vAlign w:val="center"/>
          </w:tcPr>
          <w:p>
            <w:pPr>
              <w:widowControl/>
              <w:jc w:val="center"/>
              <w:rPr>
                <w:rFonts w:ascii="宋体" w:hAnsi="宋体" w:cs="宋体"/>
                <w:kern w:val="0"/>
                <w:sz w:val="20"/>
              </w:rPr>
            </w:pPr>
          </w:p>
        </w:tc>
        <w:tc>
          <w:tcPr>
            <w:tcW w:w="1362"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（十八）援助其他地区支出</w:t>
            </w:r>
          </w:p>
        </w:tc>
        <w:tc>
          <w:tcPr>
            <w:tcW w:w="1218" w:type="dxa"/>
            <w:shd w:val="clear" w:color="auto" w:fill="FFFFFF"/>
            <w:noWrap/>
            <w:vAlign w:val="center"/>
          </w:tcPr>
          <w:p>
            <w:pPr>
              <w:widowControl/>
              <w:jc w:val="center"/>
              <w:rPr>
                <w:rFonts w:ascii="宋体" w:hAnsi="宋体" w:cs="宋体"/>
                <w:kern w:val="0"/>
                <w:sz w:val="20"/>
              </w:rPr>
            </w:pPr>
          </w:p>
        </w:tc>
        <w:tc>
          <w:tcPr>
            <w:tcW w:w="1362"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（十九）自然资源海洋气象等支出</w:t>
            </w:r>
          </w:p>
        </w:tc>
        <w:tc>
          <w:tcPr>
            <w:tcW w:w="1218" w:type="dxa"/>
            <w:shd w:val="clear" w:color="auto" w:fill="FFFFFF"/>
            <w:noWrap/>
            <w:vAlign w:val="center"/>
          </w:tcPr>
          <w:p>
            <w:pPr>
              <w:widowControl/>
              <w:jc w:val="center"/>
              <w:rPr>
                <w:rFonts w:ascii="宋体" w:hAnsi="宋体" w:cs="宋体"/>
                <w:kern w:val="0"/>
                <w:sz w:val="20"/>
              </w:rPr>
            </w:pPr>
          </w:p>
        </w:tc>
        <w:tc>
          <w:tcPr>
            <w:tcW w:w="1362"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（二十）住房保障支出</w:t>
            </w:r>
          </w:p>
        </w:tc>
        <w:tc>
          <w:tcPr>
            <w:tcW w:w="1218"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62.24</w:t>
            </w:r>
          </w:p>
        </w:tc>
        <w:tc>
          <w:tcPr>
            <w:tcW w:w="136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62.24</w:t>
            </w: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（二十一）粮油物资储备支出</w:t>
            </w:r>
          </w:p>
        </w:tc>
        <w:tc>
          <w:tcPr>
            <w:tcW w:w="1218" w:type="dxa"/>
            <w:shd w:val="clear" w:color="auto" w:fill="FFFFFF"/>
            <w:noWrap/>
            <w:vAlign w:val="center"/>
          </w:tcPr>
          <w:p>
            <w:pPr>
              <w:widowControl/>
              <w:jc w:val="center"/>
              <w:rPr>
                <w:rFonts w:ascii="宋体" w:hAnsi="宋体" w:cs="宋体"/>
                <w:kern w:val="0"/>
                <w:sz w:val="20"/>
              </w:rPr>
            </w:pPr>
          </w:p>
        </w:tc>
        <w:tc>
          <w:tcPr>
            <w:tcW w:w="1362"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（二十二）国有资本经营预算支出</w:t>
            </w:r>
          </w:p>
        </w:tc>
        <w:tc>
          <w:tcPr>
            <w:tcW w:w="1218" w:type="dxa"/>
            <w:shd w:val="clear" w:color="auto" w:fill="FFFFFF"/>
            <w:noWrap/>
            <w:vAlign w:val="center"/>
          </w:tcPr>
          <w:p>
            <w:pPr>
              <w:widowControl/>
              <w:jc w:val="center"/>
              <w:rPr>
                <w:rFonts w:ascii="宋体" w:hAnsi="宋体" w:cs="宋体"/>
                <w:kern w:val="0"/>
                <w:sz w:val="20"/>
              </w:rPr>
            </w:pPr>
          </w:p>
        </w:tc>
        <w:tc>
          <w:tcPr>
            <w:tcW w:w="1362"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（二十三）灾害防治及应急管理支出</w:t>
            </w:r>
          </w:p>
        </w:tc>
        <w:tc>
          <w:tcPr>
            <w:tcW w:w="1218" w:type="dxa"/>
            <w:shd w:val="clear" w:color="auto" w:fill="FFFFFF"/>
            <w:noWrap/>
            <w:vAlign w:val="center"/>
          </w:tcPr>
          <w:p>
            <w:pPr>
              <w:widowControl/>
              <w:jc w:val="center"/>
              <w:rPr>
                <w:rFonts w:ascii="宋体" w:hAnsi="宋体" w:cs="宋体"/>
                <w:kern w:val="0"/>
                <w:sz w:val="20"/>
              </w:rPr>
            </w:pPr>
          </w:p>
        </w:tc>
        <w:tc>
          <w:tcPr>
            <w:tcW w:w="1362"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（二十四）预备费</w:t>
            </w:r>
          </w:p>
        </w:tc>
        <w:tc>
          <w:tcPr>
            <w:tcW w:w="1218" w:type="dxa"/>
            <w:shd w:val="clear" w:color="auto" w:fill="FFFFFF"/>
            <w:noWrap/>
            <w:vAlign w:val="center"/>
          </w:tcPr>
          <w:p>
            <w:pPr>
              <w:widowControl/>
              <w:jc w:val="center"/>
              <w:rPr>
                <w:rFonts w:ascii="宋体" w:hAnsi="宋体" w:cs="宋体"/>
                <w:kern w:val="0"/>
                <w:sz w:val="20"/>
              </w:rPr>
            </w:pPr>
          </w:p>
        </w:tc>
        <w:tc>
          <w:tcPr>
            <w:tcW w:w="1362"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（二十五）其他支出</w:t>
            </w:r>
          </w:p>
        </w:tc>
        <w:tc>
          <w:tcPr>
            <w:tcW w:w="1218" w:type="dxa"/>
            <w:shd w:val="clear" w:color="auto" w:fill="FFFFFF"/>
            <w:noWrap/>
            <w:vAlign w:val="center"/>
          </w:tcPr>
          <w:p>
            <w:pPr>
              <w:widowControl/>
              <w:jc w:val="center"/>
              <w:rPr>
                <w:rFonts w:ascii="宋体" w:hAnsi="宋体" w:cs="宋体"/>
                <w:kern w:val="0"/>
                <w:sz w:val="20"/>
              </w:rPr>
            </w:pPr>
          </w:p>
        </w:tc>
        <w:tc>
          <w:tcPr>
            <w:tcW w:w="1362"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（二十六）转移性支出</w:t>
            </w:r>
          </w:p>
        </w:tc>
        <w:tc>
          <w:tcPr>
            <w:tcW w:w="1218" w:type="dxa"/>
            <w:shd w:val="clear" w:color="auto" w:fill="FFFFFF"/>
            <w:noWrap/>
            <w:vAlign w:val="center"/>
          </w:tcPr>
          <w:p>
            <w:pPr>
              <w:widowControl/>
              <w:jc w:val="center"/>
              <w:rPr>
                <w:rFonts w:ascii="宋体" w:hAnsi="宋体" w:cs="宋体"/>
                <w:kern w:val="0"/>
                <w:sz w:val="20"/>
              </w:rPr>
            </w:pPr>
          </w:p>
        </w:tc>
        <w:tc>
          <w:tcPr>
            <w:tcW w:w="1362"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（二十七）债务还本支出</w:t>
            </w:r>
          </w:p>
        </w:tc>
        <w:tc>
          <w:tcPr>
            <w:tcW w:w="1218" w:type="dxa"/>
            <w:shd w:val="clear" w:color="auto" w:fill="FFFFFF"/>
            <w:noWrap/>
            <w:vAlign w:val="center"/>
          </w:tcPr>
          <w:p>
            <w:pPr>
              <w:widowControl/>
              <w:jc w:val="center"/>
              <w:rPr>
                <w:rFonts w:ascii="宋体" w:hAnsi="宋体" w:cs="宋体"/>
                <w:kern w:val="0"/>
                <w:sz w:val="20"/>
              </w:rPr>
            </w:pPr>
          </w:p>
        </w:tc>
        <w:tc>
          <w:tcPr>
            <w:tcW w:w="1362"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（二十八）债务付息支出</w:t>
            </w:r>
          </w:p>
        </w:tc>
        <w:tc>
          <w:tcPr>
            <w:tcW w:w="1218" w:type="dxa"/>
            <w:shd w:val="clear" w:color="auto" w:fill="FFFFFF"/>
            <w:noWrap/>
            <w:vAlign w:val="center"/>
          </w:tcPr>
          <w:p>
            <w:pPr>
              <w:widowControl/>
              <w:jc w:val="center"/>
              <w:rPr>
                <w:rFonts w:ascii="宋体" w:hAnsi="宋体" w:cs="宋体"/>
                <w:kern w:val="0"/>
                <w:sz w:val="20"/>
              </w:rPr>
            </w:pPr>
          </w:p>
        </w:tc>
        <w:tc>
          <w:tcPr>
            <w:tcW w:w="1362"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（二十九）债务发行费用支出</w:t>
            </w:r>
          </w:p>
        </w:tc>
        <w:tc>
          <w:tcPr>
            <w:tcW w:w="1218" w:type="dxa"/>
            <w:shd w:val="clear" w:color="auto" w:fill="FFFFFF"/>
            <w:noWrap/>
            <w:vAlign w:val="center"/>
          </w:tcPr>
          <w:p>
            <w:pPr>
              <w:widowControl/>
              <w:jc w:val="center"/>
              <w:rPr>
                <w:rFonts w:ascii="宋体" w:hAnsi="宋体" w:cs="宋体"/>
                <w:kern w:val="0"/>
                <w:sz w:val="20"/>
              </w:rPr>
            </w:pPr>
          </w:p>
        </w:tc>
        <w:tc>
          <w:tcPr>
            <w:tcW w:w="1362"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（三十）抗疫特别国债安排的支出</w:t>
            </w:r>
          </w:p>
        </w:tc>
        <w:tc>
          <w:tcPr>
            <w:tcW w:w="1218" w:type="dxa"/>
            <w:shd w:val="clear" w:color="auto" w:fill="FFFFFF"/>
            <w:noWrap/>
            <w:vAlign w:val="center"/>
          </w:tcPr>
          <w:p>
            <w:pPr>
              <w:widowControl/>
              <w:jc w:val="center"/>
              <w:rPr>
                <w:rFonts w:ascii="宋体" w:hAnsi="宋体" w:cs="宋体"/>
                <w:kern w:val="0"/>
                <w:sz w:val="20"/>
              </w:rPr>
            </w:pPr>
          </w:p>
        </w:tc>
        <w:tc>
          <w:tcPr>
            <w:tcW w:w="1362"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（三十一）往来性支出</w:t>
            </w:r>
          </w:p>
        </w:tc>
        <w:tc>
          <w:tcPr>
            <w:tcW w:w="1218" w:type="dxa"/>
            <w:shd w:val="clear" w:color="auto" w:fill="FFFFFF"/>
            <w:noWrap/>
            <w:vAlign w:val="center"/>
          </w:tcPr>
          <w:p>
            <w:pPr>
              <w:widowControl/>
              <w:jc w:val="center"/>
              <w:rPr>
                <w:rFonts w:ascii="宋体" w:hAnsi="宋体" w:cs="宋体"/>
                <w:kern w:val="0"/>
                <w:sz w:val="20"/>
              </w:rPr>
            </w:pPr>
          </w:p>
        </w:tc>
        <w:tc>
          <w:tcPr>
            <w:tcW w:w="1362"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二、上年结转</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0.02</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二、结转下年</w:t>
            </w:r>
          </w:p>
        </w:tc>
        <w:tc>
          <w:tcPr>
            <w:tcW w:w="1218" w:type="dxa"/>
            <w:shd w:val="clear" w:color="auto" w:fill="FFFFFF"/>
            <w:noWrap/>
            <w:vAlign w:val="center"/>
          </w:tcPr>
          <w:p>
            <w:pPr>
              <w:widowControl/>
              <w:jc w:val="center"/>
              <w:rPr>
                <w:rFonts w:ascii="宋体" w:hAnsi="宋体" w:cs="宋体"/>
                <w:kern w:val="0"/>
                <w:sz w:val="20"/>
              </w:rPr>
            </w:pPr>
          </w:p>
        </w:tc>
        <w:tc>
          <w:tcPr>
            <w:tcW w:w="1362"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（一）一般公共预算拨款</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0.02</w:t>
            </w:r>
          </w:p>
        </w:tc>
        <w:tc>
          <w:tcPr>
            <w:tcW w:w="1751" w:type="dxa"/>
            <w:shd w:val="clear" w:color="auto" w:fill="FFFFFF"/>
            <w:noWrap/>
            <w:vAlign w:val="center"/>
          </w:tcPr>
          <w:p>
            <w:pPr>
              <w:widowControl/>
              <w:jc w:val="left"/>
              <w:rPr>
                <w:rFonts w:ascii="宋体" w:hAnsi="宋体" w:cs="宋体"/>
                <w:kern w:val="0"/>
                <w:sz w:val="20"/>
              </w:rPr>
            </w:pPr>
          </w:p>
        </w:tc>
        <w:tc>
          <w:tcPr>
            <w:tcW w:w="1218" w:type="dxa"/>
            <w:shd w:val="clear" w:color="auto" w:fill="FFFFFF"/>
            <w:noWrap/>
            <w:vAlign w:val="center"/>
          </w:tcPr>
          <w:p>
            <w:pPr>
              <w:widowControl/>
              <w:jc w:val="center"/>
              <w:rPr>
                <w:rFonts w:ascii="宋体" w:hAnsi="宋体" w:cs="宋体"/>
                <w:kern w:val="0"/>
                <w:sz w:val="20"/>
              </w:rPr>
            </w:pPr>
          </w:p>
        </w:tc>
        <w:tc>
          <w:tcPr>
            <w:tcW w:w="1362"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（二）政府性基金预算拨款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218" w:type="dxa"/>
            <w:shd w:val="clear" w:color="auto" w:fill="FFFFFF"/>
            <w:noWrap/>
            <w:vAlign w:val="center"/>
          </w:tcPr>
          <w:p>
            <w:pPr>
              <w:widowControl/>
              <w:jc w:val="center"/>
              <w:rPr>
                <w:rFonts w:ascii="宋体" w:hAnsi="宋体" w:cs="宋体"/>
                <w:kern w:val="0"/>
                <w:sz w:val="20"/>
              </w:rPr>
            </w:pPr>
          </w:p>
        </w:tc>
        <w:tc>
          <w:tcPr>
            <w:tcW w:w="1362"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1292.53</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支出总计</w:t>
            </w:r>
          </w:p>
        </w:tc>
        <w:tc>
          <w:tcPr>
            <w:tcW w:w="1218"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1292.53</w:t>
            </w:r>
          </w:p>
        </w:tc>
        <w:tc>
          <w:tcPr>
            <w:tcW w:w="136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1292.53</w:t>
            </w:r>
          </w:p>
        </w:tc>
        <w:tc>
          <w:tcPr>
            <w:tcW w:w="1339" w:type="dxa"/>
            <w:shd w:val="clear" w:color="auto" w:fill="FFFFFF"/>
            <w:noWrap/>
            <w:vAlign w:val="center"/>
          </w:tcPr>
          <w:p>
            <w:pPr>
              <w:widowControl/>
              <w:jc w:val="center"/>
              <w:rPr>
                <w:rFonts w:ascii="宋体" w:hAnsi="宋体" w:cs="宋体"/>
                <w:kern w:val="0"/>
                <w:sz w:val="20"/>
              </w:rPr>
            </w:pPr>
          </w:p>
        </w:tc>
      </w:tr>
    </w:tbl>
    <w:p>
      <w:r>
        <w:br w:type="page"/>
      </w:r>
    </w:p>
    <w:tbl>
      <w:tblPr>
        <w:tblStyle w:val="9"/>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544"/>
        <w:gridCol w:w="1472"/>
        <w:gridCol w:w="1472"/>
        <w:gridCol w:w="1472"/>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部门公开表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793"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41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2023年预算数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54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7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7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7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5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4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4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4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793"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1292.51</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973.51</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319.00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204</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公共安全支出　</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975.09</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656.09</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319.00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06</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司法　</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975.09</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656.09</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319.00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5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行政运行　</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656.09</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656.09</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04</w:t>
            </w:r>
          </w:p>
        </w:tc>
        <w:tc>
          <w:tcPr>
            <w:tcW w:w="35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基层司法业务　</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9.00</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35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普法宣传　</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3.00</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06</w:t>
            </w:r>
          </w:p>
        </w:tc>
        <w:tc>
          <w:tcPr>
            <w:tcW w:w="35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律师管理　</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10.00</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w:t>
            </w:r>
          </w:p>
        </w:tc>
        <w:tc>
          <w:tcPr>
            <w:tcW w:w="35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社区矫正　</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8.00</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5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其他司法支出　</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289.00</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289.00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社会保障和就业支出　</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174.12</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174.12</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行政事业单位养老支出　</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173.01</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173.01</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35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机关事业单位基本养老保险缴费支出　</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66.74</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66.74</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06</w:t>
            </w:r>
          </w:p>
        </w:tc>
        <w:tc>
          <w:tcPr>
            <w:tcW w:w="35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机关事业单位职业年金缴费支出　</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33.37</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33.37</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5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其他行政事业单位养老支出　</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72.90</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72.90</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其他社会保障和就业支出　</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1.11</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1.11</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5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其他社会保障和就业支出　</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1.11</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1.11</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卫生健康支出　</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81.06</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81.06</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行政事业单位医疗　</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81.06</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81.06</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5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行政单位医疗　</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44.99</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44.99</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35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事业单位医疗　</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4.00</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4.00</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03</w:t>
            </w:r>
          </w:p>
        </w:tc>
        <w:tc>
          <w:tcPr>
            <w:tcW w:w="35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公务员医疗补助　</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32.07</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32.07</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住房保障支出　</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62.24</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62.24</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住房改革支出　</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62.24</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62.24</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5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住房公积金　</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62.24</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62.24</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rPr>
          <w:rFonts w:ascii="仿宋_GB2312" w:eastAsia="仿宋_GB2312"/>
          <w:sz w:val="32"/>
          <w:szCs w:val="32"/>
        </w:rPr>
      </w:pPr>
      <w:r>
        <w:rPr>
          <w:rFonts w:hint="eastAsia" w:ascii="仿宋_GB2312" w:eastAsia="仿宋_GB2312"/>
          <w:sz w:val="32"/>
          <w:szCs w:val="32"/>
        </w:rPr>
        <w:br w:type="page"/>
      </w:r>
    </w:p>
    <w:tbl>
      <w:tblPr>
        <w:tblStyle w:val="9"/>
        <w:tblW w:w="11245" w:type="dxa"/>
        <w:jc w:val="center"/>
        <w:tblLayout w:type="fixed"/>
        <w:tblCellMar>
          <w:top w:w="0" w:type="dxa"/>
          <w:left w:w="108" w:type="dxa"/>
          <w:bottom w:w="0" w:type="dxa"/>
          <w:right w:w="108" w:type="dxa"/>
        </w:tblCellMar>
      </w:tblPr>
      <w:tblGrid>
        <w:gridCol w:w="650"/>
        <w:gridCol w:w="650"/>
        <w:gridCol w:w="3081"/>
        <w:gridCol w:w="2288"/>
        <w:gridCol w:w="2288"/>
        <w:gridCol w:w="2288"/>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部门公开表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38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86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2023年基本支出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08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28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28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28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0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2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2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2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381" w:type="dxa"/>
            <w:gridSpan w:val="3"/>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973.51</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895.67</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77.84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301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308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工资福利支出</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799.84</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799.84</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308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基本工资</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142.98</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142.98</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308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津贴补贴</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248.54</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248.54</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308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奖金</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150.11</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150.11</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308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绩效工资</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36.62</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36.62</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308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机关事业单位基本养老保险缴费</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66.74</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66.74</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308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职业年金缴费</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33.37</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33.37</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308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职工基本医疗保险缴费</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26.06</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26.06</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308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公务员医疗补助缴费</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32.07</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32.07</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308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其他社会保障缴费</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1.11</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1.11</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308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住房公积金</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62.24</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62.24</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302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308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商品和服务支出</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77.84</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77.84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308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办公费</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11.34</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11.34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308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印刷费</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308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咨询费</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308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水费</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0.84</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0.84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308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电费</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0.84</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0.84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308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邮电费</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4.62</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4.62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308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取暖费</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4.20</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4.20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308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差旅费</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4.20</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4.20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308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维修（护）费</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308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公务接待费</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1.26</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1.26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308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被装购置费</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28</w:t>
            </w:r>
          </w:p>
        </w:tc>
        <w:tc>
          <w:tcPr>
            <w:tcW w:w="308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工会经费</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8.01</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8.01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31</w:t>
            </w:r>
          </w:p>
        </w:tc>
        <w:tc>
          <w:tcPr>
            <w:tcW w:w="308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公务用车运行维护费</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11.00</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11.00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39</w:t>
            </w:r>
          </w:p>
        </w:tc>
        <w:tc>
          <w:tcPr>
            <w:tcW w:w="308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其他交通费用</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22.68</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22.68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308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其他商品和服务支出</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8.85</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8.85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303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308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对个人和家庭的补助</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95.83</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95.83</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308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退休费</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72.90</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72.90</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308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医疗费补助</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22.93</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22.93</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310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308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资本性支出</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308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其他资本性支出</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bl>
    <w:p>
      <w:pPr>
        <w:rPr>
          <w:rFonts w:ascii="仿宋_GB2312" w:eastAsia="仿宋_GB2312"/>
          <w:sz w:val="10"/>
          <w:szCs w:val="32"/>
        </w:rPr>
      </w:pPr>
      <w:r>
        <w:rPr>
          <w:rFonts w:hint="eastAsia" w:ascii="仿宋_GB2312" w:eastAsia="仿宋_GB2312"/>
          <w:sz w:val="10"/>
          <w:szCs w:val="32"/>
        </w:rPr>
        <w:br w:type="page"/>
      </w:r>
    </w:p>
    <w:tbl>
      <w:tblPr>
        <w:tblStyle w:val="9"/>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62"/>
            <w:bookmarkEnd w:id="1"/>
            <w:bookmarkStart w:id="2" w:name="RANGE!A1:F15"/>
            <w:bookmarkEnd w:id="2"/>
            <w:bookmarkStart w:id="3" w:name="RANGE!A1:G6"/>
            <w:bookmarkEnd w:id="3"/>
            <w:r>
              <w:rPr>
                <w:rFonts w:hint="eastAsia" w:ascii="宋体" w:hAnsi="宋体" w:cs="宋体"/>
                <w:b/>
                <w:kern w:val="0"/>
                <w:sz w:val="18"/>
                <w:szCs w:val="18"/>
              </w:rPr>
              <w:t>部门公开表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2023年预算数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12.26</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11.00</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11.00</w:t>
            </w: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1.26</w:t>
            </w: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12.26</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11.00</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11.00</w:t>
            </w:r>
          </w:p>
        </w:tc>
        <w:tc>
          <w:tcPr>
            <w:tcW w:w="972"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1.26</w:t>
            </w:r>
          </w:p>
        </w:tc>
      </w:tr>
    </w:tbl>
    <w:p>
      <w:pPr>
        <w:rPr>
          <w:rFonts w:ascii="仿宋_GB2312" w:eastAsia="仿宋_GB2312"/>
          <w:sz w:val="32"/>
          <w:szCs w:val="32"/>
        </w:rPr>
      </w:pPr>
      <w:r>
        <w:rPr>
          <w:rFonts w:hint="eastAsia" w:ascii="仿宋_GB2312" w:eastAsia="仿宋_GB2312"/>
          <w:sz w:val="32"/>
          <w:szCs w:val="32"/>
        </w:rPr>
        <w:br w:type="page"/>
      </w:r>
    </w:p>
    <w:tbl>
      <w:tblPr>
        <w:tblStyle w:val="9"/>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ascii="宋体" w:hAnsi="宋体" w:cs="宋体"/>
                <w:b/>
                <w:bCs/>
                <w:kern w:val="0"/>
                <w:sz w:val="44"/>
                <w:szCs w:val="44"/>
              </w:rPr>
            </w:pPr>
            <w:r>
              <w:rPr>
                <w:rFonts w:hint="eastAsia" w:ascii="宋体" w:hAnsi="宋体" w:cs="宋体"/>
                <w:b/>
                <w:kern w:val="0"/>
                <w:sz w:val="18"/>
                <w:szCs w:val="18"/>
              </w:rPr>
              <w:t>部门公开表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2023年预算数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ascii="仿宋_GB2312" w:eastAsia="仿宋_GB2312"/>
          <w:sz w:val="32"/>
          <w:szCs w:val="32"/>
        </w:rPr>
      </w:pPr>
      <w:r>
        <w:rPr>
          <w:rFonts w:hint="eastAsia" w:ascii="仿宋_GB2312" w:eastAsia="仿宋_GB2312"/>
          <w:sz w:val="32"/>
          <w:szCs w:val="32"/>
        </w:rPr>
        <w:t>（注：此表为空表）</w:t>
      </w:r>
    </w:p>
    <w:p>
      <w:pPr>
        <w:rPr>
          <w:rFonts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ascii="小标宋" w:eastAsia="小标宋"/>
          <w:b/>
          <w:color w:val="000000"/>
          <w:sz w:val="36"/>
          <w:szCs w:val="36"/>
        </w:rPr>
      </w:pPr>
      <w:bookmarkStart w:id="5" w:name="RANGE!A1:K13"/>
      <w:bookmarkEnd w:id="5"/>
      <w:r>
        <w:rPr>
          <w:rFonts w:hint="eastAsia" w:ascii="小标宋" w:eastAsia="小标宋"/>
          <w:b/>
          <w:color w:val="000000"/>
          <w:sz w:val="36"/>
          <w:szCs w:val="36"/>
        </w:rPr>
        <w:t>第三部分  部门预算情况说明</w:t>
      </w:r>
    </w:p>
    <w:p>
      <w:pPr>
        <w:ind w:firstLine="640" w:firstLineChars="200"/>
        <w:rPr>
          <w:rFonts w:ascii="黑体" w:hAnsi="宋体" w:eastAsia="黑体"/>
          <w:color w:val="000000"/>
          <w:sz w:val="32"/>
          <w:szCs w:val="32"/>
        </w:rPr>
      </w:pP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一、关于湟源县司法局2023年部门收支预算情况的总体说明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湟源县司法局所有收入和支出均纳入部门预算管理。收入包括：一般公共预算拨款收入1292.51万元，上年结转0.02万元；支出包括：公共安全支出975.11万元，社会保障和就业支出174.12万元，卫生健康支出81.06万元，住房保障支出62.24万元。湟源县司法局2023年收支总预算1292.53万元</w:t>
      </w:r>
      <w:r>
        <w:rPr>
          <w:rFonts w:ascii="仿宋_GB2312" w:eastAsia="仿宋_GB2312"/>
          <w:sz w:val="32"/>
          <w:szCs w:val="32"/>
        </w:rPr>
        <w:t>。</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二、关于湟源县司法局2023年部门收入预算情况说明</w:t>
      </w:r>
    </w:p>
    <w:p>
      <w:pPr>
        <w:ind w:firstLine="640" w:firstLineChars="200"/>
        <w:rPr>
          <w:rFonts w:ascii="仿宋_GB2312" w:eastAsia="仿宋_GB2312"/>
          <w:sz w:val="32"/>
          <w:szCs w:val="32"/>
        </w:rPr>
      </w:pPr>
      <w:r>
        <w:rPr>
          <w:rFonts w:hint="eastAsia" w:ascii="仿宋_GB2312" w:eastAsia="仿宋_GB2312"/>
          <w:sz w:val="32"/>
          <w:szCs w:val="32"/>
        </w:rPr>
        <w:t>湟源县司法局2023年收入预算1292.53万元，其中：上年结转0.02万元，占0.00%；一般公共预算拨款收入1292.51万元，占100.00%。</w:t>
      </w:r>
    </w:p>
    <w:p>
      <w:pPr>
        <w:ind w:firstLine="640" w:firstLineChars="200"/>
        <w:rPr>
          <w:rFonts w:ascii="仿宋_GB2312" w:eastAsia="仿宋_GB2312"/>
          <w:sz w:val="32"/>
          <w:szCs w:val="32"/>
        </w:rPr>
      </w:pPr>
      <w:r>
        <w:rPr>
          <w:rFonts w:hint="eastAsia" w:ascii="仿宋_GB2312" w:eastAsia="仿宋_GB2312"/>
          <w:sz w:val="32"/>
          <w:szCs w:val="32"/>
        </w:rPr>
        <w:drawing>
          <wp:inline distT="0" distB="0" distL="114300" distR="114300">
            <wp:extent cx="4585335" cy="2109470"/>
            <wp:effectExtent l="0" t="0" r="12065"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7" cstate="print"/>
                    <a:stretch>
                      <a:fillRect/>
                    </a:stretch>
                  </pic:blipFill>
                  <pic:spPr>
                    <a:xfrm>
                      <a:off x="0" y="0"/>
                      <a:ext cx="4585335" cy="2109470"/>
                    </a:xfrm>
                    <a:prstGeom prst="rect">
                      <a:avLst/>
                    </a:prstGeom>
                    <a:noFill/>
                    <a:ln>
                      <a:noFill/>
                    </a:ln>
                  </pic:spPr>
                </pic:pic>
              </a:graphicData>
            </a:graphic>
          </wp:inline>
        </w:drawing>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三、关于湟源县司法局2023年部门支出预算情况说明</w:t>
      </w:r>
    </w:p>
    <w:p>
      <w:pPr>
        <w:ind w:firstLine="645"/>
        <w:rPr>
          <w:rFonts w:ascii="仿宋_GB2312" w:eastAsia="仿宋_GB2312"/>
          <w:sz w:val="32"/>
          <w:szCs w:val="32"/>
        </w:rPr>
      </w:pPr>
      <w:r>
        <w:rPr>
          <w:rFonts w:hint="eastAsia" w:ascii="仿宋_GB2312" w:eastAsia="仿宋_GB2312"/>
          <w:sz w:val="32"/>
          <w:szCs w:val="32"/>
        </w:rPr>
        <w:t>湟源县司法局2023年支出预算1292.53万元，其中：基本支出973.51万元，占75.32%；项目支出319.02万元，占24.68%。</w:t>
      </w:r>
    </w:p>
    <w:p>
      <w:pPr>
        <w:ind w:firstLine="645"/>
        <w:rPr>
          <w:rFonts w:ascii="仿宋_GB2312" w:eastAsia="仿宋_GB2312"/>
          <w:sz w:val="32"/>
          <w:szCs w:val="32"/>
        </w:rPr>
      </w:pPr>
      <w:r>
        <w:rPr>
          <w:rFonts w:ascii="仿宋_GB2312" w:eastAsia="仿宋_GB2312"/>
          <w:sz w:val="32"/>
          <w:szCs w:val="32"/>
        </w:rPr>
        <w:drawing>
          <wp:inline distT="0" distB="0" distL="114300" distR="114300">
            <wp:extent cx="4624705" cy="212788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4624705" cy="2127885"/>
                    </a:xfrm>
                    <a:prstGeom prst="rect">
                      <a:avLst/>
                    </a:prstGeom>
                    <a:noFill/>
                    <a:ln>
                      <a:noFill/>
                    </a:ln>
                  </pic:spPr>
                </pic:pic>
              </a:graphicData>
            </a:graphic>
          </wp:inline>
        </w:drawing>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四、关于湟源县司法局2023年财政拨款收支预算情况的总体说明</w:t>
      </w:r>
    </w:p>
    <w:p>
      <w:pPr>
        <w:ind w:firstLine="645"/>
        <w:rPr>
          <w:rFonts w:ascii="仿宋_GB2312" w:eastAsia="仿宋_GB2312"/>
          <w:sz w:val="32"/>
          <w:szCs w:val="32"/>
        </w:rPr>
      </w:pPr>
      <w:r>
        <w:rPr>
          <w:rFonts w:hint="eastAsia" w:ascii="仿宋_GB2312" w:eastAsia="仿宋_GB2312"/>
          <w:sz w:val="32"/>
          <w:szCs w:val="32"/>
        </w:rPr>
        <w:t>湟源县司法局2023年财政拨款收支总预算1292.53万元，比上年增加113.75万元，主要是人员基本工资的正常增长，相应社保缴费增加。收入包括：一般公共预算拨款收入1292.51万元，上年结转0.02万元；政府性基金预算拨款收入0.00万元，上年结转0.00万元。支出包括： 公共安全支出975.11万元， 社会保障和就业支出174.12万元， 卫生健康支出81.06万元， 住房保障支出62.24万元。</w:t>
      </w:r>
    </w:p>
    <w:p>
      <w:pPr>
        <w:ind w:firstLine="645"/>
        <w:rPr>
          <w:rFonts w:ascii="仿宋_GB2312" w:eastAsia="仿宋_GB2312"/>
          <w:sz w:val="32"/>
          <w:szCs w:val="32"/>
        </w:rPr>
      </w:pPr>
      <w:r>
        <w:rPr>
          <w:rFonts w:ascii="仿宋_GB2312" w:eastAsia="仿宋_GB2312"/>
          <w:sz w:val="32"/>
          <w:szCs w:val="32"/>
        </w:rPr>
        <w:drawing>
          <wp:inline distT="0" distB="0" distL="114300" distR="114300">
            <wp:extent cx="4431030" cy="2039620"/>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9"/>
                    <a:stretch>
                      <a:fillRect/>
                    </a:stretch>
                  </pic:blipFill>
                  <pic:spPr>
                    <a:xfrm>
                      <a:off x="0" y="0"/>
                      <a:ext cx="4431030" cy="2039620"/>
                    </a:xfrm>
                    <a:prstGeom prst="rect">
                      <a:avLst/>
                    </a:prstGeom>
                    <a:noFill/>
                    <a:ln>
                      <a:noFill/>
                    </a:ln>
                  </pic:spPr>
                </pic:pic>
              </a:graphicData>
            </a:graphic>
          </wp:inline>
        </w:drawing>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五、关于湟源县司法局2023年一般公共预算当年拨款情况说明</w:t>
      </w:r>
    </w:p>
    <w:p>
      <w:pPr>
        <w:ind w:firstLine="645"/>
        <w:rPr>
          <w:rFonts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ascii="仿宋_GB2312" w:eastAsia="仿宋_GB2312"/>
          <w:iCs/>
          <w:sz w:val="32"/>
          <w:szCs w:val="32"/>
        </w:rPr>
      </w:pPr>
      <w:r>
        <w:rPr>
          <w:rFonts w:hint="eastAsia" w:ascii="仿宋_GB2312" w:eastAsia="仿宋_GB2312"/>
          <w:sz w:val="32"/>
          <w:szCs w:val="32"/>
        </w:rPr>
        <w:t>湟源县司法局2023年一般公共预算当年拨款1292.51万元,比上年增加113.73万元，主要是人员基本工资的正常增长，相应社保缴费增加</w:t>
      </w:r>
      <w:r>
        <w:rPr>
          <w:rFonts w:hint="eastAsia" w:ascii="仿宋_GB2312" w:eastAsia="仿宋_GB2312"/>
          <w:iCs/>
          <w:sz w:val="32"/>
          <w:szCs w:val="32"/>
        </w:rPr>
        <w:t>。</w:t>
      </w:r>
    </w:p>
    <w:p>
      <w:pPr>
        <w:ind w:firstLine="645"/>
        <w:rPr>
          <w:rFonts w:ascii="仿宋_GB2312" w:eastAsia="仿宋_GB2312"/>
          <w:iCs/>
          <w:sz w:val="32"/>
          <w:szCs w:val="32"/>
        </w:rPr>
      </w:pPr>
      <w:r>
        <w:rPr>
          <w:rFonts w:ascii="仿宋_GB2312" w:eastAsia="仿宋_GB2312"/>
          <w:iCs/>
          <w:sz w:val="32"/>
          <w:szCs w:val="32"/>
        </w:rPr>
        <w:drawing>
          <wp:inline distT="0" distB="0" distL="114300" distR="114300">
            <wp:extent cx="4378325" cy="1503680"/>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0"/>
                    <a:stretch>
                      <a:fillRect/>
                    </a:stretch>
                  </pic:blipFill>
                  <pic:spPr>
                    <a:xfrm>
                      <a:off x="0" y="0"/>
                      <a:ext cx="4378325" cy="1503680"/>
                    </a:xfrm>
                    <a:prstGeom prst="rect">
                      <a:avLst/>
                    </a:prstGeom>
                    <a:noFill/>
                    <a:ln>
                      <a:noFill/>
                    </a:ln>
                  </pic:spPr>
                </pic:pic>
              </a:graphicData>
            </a:graphic>
          </wp:inline>
        </w:drawing>
      </w:r>
    </w:p>
    <w:p>
      <w:pPr>
        <w:ind w:firstLine="645"/>
        <w:rPr>
          <w:rFonts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ascii="仿宋_GB2312" w:eastAsia="仿宋_GB2312"/>
          <w:sz w:val="32"/>
          <w:szCs w:val="32"/>
        </w:rPr>
      </w:pPr>
      <w:r>
        <w:rPr>
          <w:rFonts w:hint="eastAsia" w:ascii="仿宋_GB2312" w:eastAsia="仿宋_GB2312"/>
          <w:sz w:val="32"/>
          <w:szCs w:val="32"/>
        </w:rPr>
        <w:t>公共安全支出975.09万元，占75.44%；社会保障和就业支出174.12万元，占13.47%；卫生健康支出81.06万元，占6.27%；住房保障支出62.24万元，占4.82%。</w:t>
      </w:r>
    </w:p>
    <w:p>
      <w:pPr>
        <w:ind w:firstLine="645"/>
        <w:rPr>
          <w:rFonts w:ascii="仿宋_GB2312" w:eastAsia="仿宋_GB2312"/>
          <w:sz w:val="32"/>
          <w:szCs w:val="32"/>
        </w:rPr>
      </w:pPr>
      <w:r>
        <w:rPr>
          <w:rFonts w:ascii="仿宋_GB2312" w:eastAsia="仿宋_GB2312"/>
          <w:sz w:val="32"/>
          <w:szCs w:val="32"/>
        </w:rPr>
        <w:drawing>
          <wp:inline distT="0" distB="0" distL="114300" distR="114300">
            <wp:extent cx="4659630" cy="2145030"/>
            <wp:effectExtent l="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1"/>
                    <a:stretch>
                      <a:fillRect/>
                    </a:stretch>
                  </pic:blipFill>
                  <pic:spPr>
                    <a:xfrm>
                      <a:off x="0" y="0"/>
                      <a:ext cx="4659630" cy="2145030"/>
                    </a:xfrm>
                    <a:prstGeom prst="rect">
                      <a:avLst/>
                    </a:prstGeom>
                    <a:noFill/>
                    <a:ln>
                      <a:noFill/>
                    </a:ln>
                  </pic:spPr>
                </pic:pic>
              </a:graphicData>
            </a:graphic>
          </wp:inline>
        </w:drawing>
      </w:r>
    </w:p>
    <w:p>
      <w:pPr>
        <w:ind w:firstLine="645"/>
        <w:rPr>
          <w:rFonts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ascii="仿宋_GB2312" w:eastAsia="仿宋_GB2312"/>
          <w:sz w:val="32"/>
          <w:szCs w:val="32"/>
        </w:rPr>
      </w:pPr>
      <w:r>
        <w:rPr>
          <w:rFonts w:hint="eastAsia" w:ascii="仿宋_GB2312" w:eastAsia="仿宋_GB2312"/>
          <w:sz w:val="32"/>
          <w:szCs w:val="32"/>
        </w:rPr>
        <w:t>1、公共安全支出（类）司法（款）行政运行（项）2023年预算数为656.09万元，比上年增加20.14万元，增长3.17%。主要是人员基本工资的正常增长，该类支出同比增加。</w:t>
      </w:r>
    </w:p>
    <w:p>
      <w:pPr>
        <w:ind w:firstLine="645"/>
        <w:rPr>
          <w:rFonts w:ascii="仿宋_GB2312" w:eastAsia="仿宋_GB2312"/>
          <w:sz w:val="32"/>
          <w:szCs w:val="32"/>
        </w:rPr>
      </w:pPr>
      <w:r>
        <w:rPr>
          <w:rFonts w:hint="eastAsia" w:ascii="仿宋_GB2312" w:eastAsia="仿宋_GB2312"/>
          <w:sz w:val="32"/>
          <w:szCs w:val="32"/>
        </w:rPr>
        <w:t>2、公共安全支出（类）司法（款）基层司法业务（项）2023年预算数为9.00万元，比上年增加4.00万元，增长80.00%。主要</w:t>
      </w:r>
      <w:r>
        <w:rPr>
          <w:rFonts w:hint="eastAsia" w:ascii="仿宋_GB2312" w:eastAsia="仿宋_GB2312"/>
          <w:sz w:val="32"/>
          <w:szCs w:val="32"/>
          <w:highlight w:val="none"/>
        </w:rPr>
        <w:t>是</w:t>
      </w:r>
      <w:r>
        <w:rPr>
          <w:rFonts w:hint="eastAsia" w:ascii="仿宋_GB2312" w:eastAsia="仿宋_GB2312"/>
          <w:sz w:val="32"/>
          <w:szCs w:val="32"/>
          <w:highlight w:val="none"/>
          <w:lang w:val="en-US" w:eastAsia="zh-CN"/>
        </w:rPr>
        <w:t>用于</w:t>
      </w:r>
      <w:r>
        <w:rPr>
          <w:rFonts w:hint="eastAsia" w:ascii="仿宋_GB2312" w:eastAsia="仿宋_GB2312"/>
          <w:sz w:val="32"/>
          <w:szCs w:val="32"/>
          <w:highlight w:val="none"/>
        </w:rPr>
        <w:t>巩固基</w:t>
      </w:r>
      <w:r>
        <w:rPr>
          <w:rFonts w:hint="eastAsia" w:ascii="仿宋_GB2312" w:eastAsia="仿宋_GB2312"/>
          <w:sz w:val="32"/>
          <w:szCs w:val="32"/>
        </w:rPr>
        <w:t>层人民调解工作的投资和基层司法所各项业务顺利开展。</w:t>
      </w:r>
    </w:p>
    <w:p>
      <w:pPr>
        <w:ind w:firstLine="645"/>
        <w:rPr>
          <w:rFonts w:hint="eastAsia" w:ascii="仿宋_GB2312" w:eastAsia="仿宋_GB2312"/>
          <w:sz w:val="30"/>
          <w:szCs w:val="30"/>
          <w:highlight w:val="none"/>
          <w:lang w:eastAsia="zh-CN"/>
        </w:rPr>
      </w:pPr>
      <w:r>
        <w:rPr>
          <w:rFonts w:hint="eastAsia" w:ascii="仿宋_GB2312" w:eastAsia="仿宋_GB2312"/>
          <w:sz w:val="32"/>
          <w:szCs w:val="32"/>
        </w:rPr>
        <w:t>3、公共安全支出（类）司法（款）普法宣传（项）2023年预算数为3.00万元，比上年增加0.00万元，增长0.00%。</w:t>
      </w:r>
      <w:r>
        <w:rPr>
          <w:rFonts w:hint="eastAsia" w:ascii="仿宋_GB2312" w:eastAsia="仿宋_GB2312"/>
          <w:sz w:val="30"/>
          <w:szCs w:val="30"/>
          <w:highlight w:val="none"/>
          <w:lang w:val="en-US" w:eastAsia="zh-CN"/>
        </w:rPr>
        <w:t>与上年持平。</w:t>
      </w:r>
    </w:p>
    <w:p>
      <w:pPr>
        <w:ind w:firstLine="645"/>
        <w:rPr>
          <w:rFonts w:hint="eastAsia" w:ascii="仿宋_GB2312" w:hAnsi="Times New Roman" w:eastAsia="仿宋_GB2312" w:cs="Times New Roman"/>
          <w:sz w:val="32"/>
          <w:szCs w:val="32"/>
          <w:highlight w:val="none"/>
        </w:rPr>
      </w:pPr>
      <w:r>
        <w:rPr>
          <w:rFonts w:hint="eastAsia" w:ascii="仿宋_GB2312" w:eastAsia="仿宋_GB2312"/>
          <w:sz w:val="32"/>
          <w:szCs w:val="32"/>
          <w:highlight w:val="none"/>
        </w:rPr>
        <w:t>4、公共安全支出（类）司法（款）律师管理（项）2023年预算数为10.00万元，比上年增加0.00万元，增长0.00%。</w:t>
      </w:r>
      <w:r>
        <w:rPr>
          <w:rFonts w:hint="eastAsia" w:ascii="仿宋_GB2312" w:eastAsia="仿宋_GB2312"/>
          <w:sz w:val="32"/>
          <w:szCs w:val="32"/>
          <w:highlight w:val="none"/>
          <w:lang w:val="en-US" w:eastAsia="zh-CN"/>
        </w:rPr>
        <w:t>与上年持平。</w:t>
      </w:r>
    </w:p>
    <w:p>
      <w:pPr>
        <w:ind w:firstLine="645"/>
        <w:rPr>
          <w:rFonts w:hint="eastAsia" w:ascii="仿宋_GB2312" w:hAnsi="Times New Roman" w:eastAsia="仿宋_GB2312" w:cs="Times New Roman"/>
          <w:sz w:val="32"/>
          <w:szCs w:val="32"/>
        </w:rPr>
      </w:pPr>
      <w:r>
        <w:rPr>
          <w:rFonts w:hint="eastAsia" w:ascii="仿宋_GB2312" w:eastAsia="仿宋_GB2312"/>
          <w:sz w:val="32"/>
          <w:szCs w:val="32"/>
        </w:rPr>
        <w:t>5、公共安全支出（类）司法（款）社区矫正（项）2023年预算数为8.00万元，比上年增加5.00万元，增长166.67%。</w:t>
      </w:r>
      <w:r>
        <w:rPr>
          <w:rFonts w:hint="eastAsia" w:ascii="仿宋_GB2312" w:hAnsi="Times New Roman" w:eastAsia="仿宋_GB2312" w:cs="Times New Roman"/>
          <w:sz w:val="32"/>
          <w:szCs w:val="32"/>
        </w:rPr>
        <w:t>主要是用于社区矫正人员技能培训以及打造智慧矫正中心。</w:t>
      </w:r>
    </w:p>
    <w:p>
      <w:pPr>
        <w:ind w:firstLine="645"/>
        <w:rPr>
          <w:rFonts w:ascii="仿宋_GB2312" w:eastAsia="仿宋_GB2312"/>
          <w:sz w:val="32"/>
          <w:szCs w:val="32"/>
        </w:rPr>
      </w:pPr>
      <w:r>
        <w:rPr>
          <w:rFonts w:hint="eastAsia" w:ascii="仿宋_GB2312" w:eastAsia="仿宋_GB2312"/>
          <w:sz w:val="32"/>
          <w:szCs w:val="32"/>
        </w:rPr>
        <w:t>6、公共安全支出（类）司法（款）其他司法支出（项）2023年预算数为289.00万元，比上年增加69.00万元，增长31.36%。主要是项目增加，业务开展顺利。</w:t>
      </w:r>
    </w:p>
    <w:p>
      <w:pPr>
        <w:ind w:firstLine="645"/>
        <w:rPr>
          <w:rFonts w:ascii="仿宋_GB2312" w:eastAsia="仿宋_GB2312"/>
          <w:sz w:val="32"/>
          <w:szCs w:val="32"/>
        </w:rPr>
      </w:pPr>
      <w:r>
        <w:rPr>
          <w:rFonts w:hint="eastAsia" w:ascii="仿宋_GB2312" w:eastAsia="仿宋_GB2312"/>
          <w:sz w:val="32"/>
          <w:szCs w:val="32"/>
        </w:rPr>
        <w:t>7、社会保障和就业支出（类）行政事业单位养老支出（款）机关事业单位基本养老保险缴费支出（项）2023年预算数为66.74万元，比上年增加8.36万元，增长14.32%。主要是人员基本工资的正常增长，基数调整。</w:t>
      </w:r>
    </w:p>
    <w:p>
      <w:pPr>
        <w:ind w:firstLine="645"/>
        <w:rPr>
          <w:rFonts w:hint="eastAsia" w:ascii="仿宋_GB2312" w:hAnsi="Times New Roman" w:eastAsia="仿宋_GB2312" w:cs="Times New Roman"/>
          <w:sz w:val="32"/>
          <w:szCs w:val="32"/>
        </w:rPr>
      </w:pPr>
      <w:r>
        <w:rPr>
          <w:rFonts w:hint="eastAsia" w:ascii="仿宋_GB2312" w:eastAsia="仿宋_GB2312"/>
          <w:sz w:val="32"/>
          <w:szCs w:val="32"/>
        </w:rPr>
        <w:t>8、社会保障和就业支出（类）行政事业单位养老支出（款）机关事业单位职业年金缴费支出（项）2023年预算数为33.37万元，比上年增加4.18万元，增长14.32%。</w:t>
      </w:r>
      <w:r>
        <w:rPr>
          <w:rFonts w:hint="eastAsia" w:ascii="仿宋_GB2312" w:hAnsi="Times New Roman" w:eastAsia="仿宋_GB2312" w:cs="Times New Roman"/>
          <w:sz w:val="32"/>
          <w:szCs w:val="32"/>
        </w:rPr>
        <w:t>主要是人员基本工资的正常增长，基数调整。</w:t>
      </w:r>
    </w:p>
    <w:p>
      <w:pPr>
        <w:ind w:firstLine="645"/>
        <w:rPr>
          <w:rFonts w:ascii="仿宋_GB2312" w:eastAsia="仿宋_GB2312"/>
          <w:sz w:val="32"/>
          <w:szCs w:val="32"/>
        </w:rPr>
      </w:pPr>
      <w:r>
        <w:rPr>
          <w:rFonts w:hint="eastAsia" w:ascii="仿宋_GB2312" w:eastAsia="仿宋_GB2312"/>
          <w:sz w:val="32"/>
          <w:szCs w:val="32"/>
        </w:rPr>
        <w:t>9、社会保障和就业支出（类）行政事业单位养老支出（款）其他行政事业单位养老支出（项）2023年预算数为72.90万元，比上年增加17.15万元，增长30.76%。主要是</w:t>
      </w:r>
      <w:r>
        <w:rPr>
          <w:rFonts w:hint="eastAsia" w:ascii="仿宋_GB2312" w:hAnsi="宋体" w:eastAsia="仿宋_GB2312" w:cs="仿宋_GB2312"/>
          <w:color w:val="000000"/>
          <w:kern w:val="0"/>
          <w:sz w:val="32"/>
          <w:szCs w:val="32"/>
        </w:rPr>
        <w:t>退休人员增加及各类奖金支出。</w:t>
      </w:r>
    </w:p>
    <w:p>
      <w:pPr>
        <w:ind w:firstLine="645"/>
        <w:rPr>
          <w:rFonts w:ascii="仿宋_GB2312" w:eastAsia="仿宋_GB2312"/>
          <w:sz w:val="32"/>
          <w:szCs w:val="32"/>
        </w:rPr>
      </w:pPr>
      <w:r>
        <w:rPr>
          <w:rFonts w:hint="eastAsia" w:ascii="仿宋_GB2312" w:eastAsia="仿宋_GB2312"/>
          <w:sz w:val="32"/>
          <w:szCs w:val="32"/>
        </w:rPr>
        <w:t>10、社会保障和就业支出（类）其他社会保障和就业支出（款）其他社会保障和就业支出（项）2023年预算数为1.11万元，比上年减少0.10万元，下降8.26%。主要是年末1名在职人员退休,相应的缴纳工伤保险、失业保险支出的减少。</w:t>
      </w:r>
    </w:p>
    <w:p>
      <w:pPr>
        <w:ind w:firstLine="645"/>
        <w:rPr>
          <w:rFonts w:ascii="仿宋_GB2312" w:eastAsia="仿宋_GB2312"/>
          <w:sz w:val="32"/>
          <w:szCs w:val="32"/>
        </w:rPr>
      </w:pPr>
      <w:r>
        <w:rPr>
          <w:rFonts w:hint="eastAsia" w:ascii="仿宋_GB2312" w:eastAsia="仿宋_GB2312"/>
          <w:sz w:val="32"/>
          <w:szCs w:val="32"/>
        </w:rPr>
        <w:t>11、卫生健康支出（类）行政事业单位医疗（款）行政单位医疗（项）2023年预算数为44.99万元，比上年减少17.79万元，下降28.34%。主要是年末1名在职人员退休,行政单位医疗支出减少。</w:t>
      </w:r>
    </w:p>
    <w:p>
      <w:pPr>
        <w:ind w:firstLine="645"/>
        <w:rPr>
          <w:rFonts w:ascii="仿宋_GB2312" w:eastAsia="仿宋_GB2312"/>
          <w:sz w:val="32"/>
          <w:szCs w:val="32"/>
        </w:rPr>
      </w:pPr>
      <w:r>
        <w:rPr>
          <w:rFonts w:hint="eastAsia" w:ascii="仿宋_GB2312" w:eastAsia="仿宋_GB2312"/>
          <w:sz w:val="32"/>
          <w:szCs w:val="32"/>
        </w:rPr>
        <w:t>12、卫生健康支出（类）行政事业单位医疗（款）事业单位医疗（项）2023年预算数为4.00万元，比上年增加0.07万元，增长1.78%。主要是人员基本工资的正常增长，基数调整。</w:t>
      </w:r>
    </w:p>
    <w:p>
      <w:pPr>
        <w:ind w:firstLine="645"/>
        <w:rPr>
          <w:rFonts w:ascii="仿宋_GB2312" w:eastAsia="仿宋_GB2312"/>
          <w:sz w:val="32"/>
          <w:szCs w:val="32"/>
        </w:rPr>
      </w:pPr>
      <w:r>
        <w:rPr>
          <w:rFonts w:hint="eastAsia" w:ascii="仿宋_GB2312" w:eastAsia="仿宋_GB2312"/>
          <w:sz w:val="32"/>
          <w:szCs w:val="32"/>
        </w:rPr>
        <w:t>13、卫生健康支出（类）行政事业单位医疗（款）公务员医疗补助（项）2023年预算数为32.07万元，比上年减少4.16万元，下降11.48%。主要是公务员医疗补助支出减少。</w:t>
      </w:r>
    </w:p>
    <w:p>
      <w:pPr>
        <w:ind w:firstLine="645"/>
        <w:rPr>
          <w:rFonts w:ascii="仿宋_GB2312" w:eastAsia="仿宋_GB2312"/>
          <w:sz w:val="32"/>
          <w:szCs w:val="32"/>
        </w:rPr>
      </w:pPr>
      <w:r>
        <w:rPr>
          <w:rFonts w:hint="eastAsia" w:ascii="仿宋_GB2312" w:eastAsia="仿宋_GB2312"/>
          <w:sz w:val="32"/>
          <w:szCs w:val="32"/>
        </w:rPr>
        <w:t>14、住房保障支出（类）住房改革支出（款）住房公积金（项）2023年预算数为62.24万元，比上年增加7.89万元，增长14.52%。主要是人员基本工资的正常增长，基数调整。</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rPr>
        <w:t>湟源县司法局2023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ascii="仿宋_GB2312" w:eastAsia="仿宋_GB2312"/>
          <w:sz w:val="32"/>
          <w:szCs w:val="32"/>
        </w:rPr>
      </w:pPr>
      <w:r>
        <w:rPr>
          <w:rFonts w:hint="eastAsia" w:ascii="仿宋_GB2312" w:eastAsia="仿宋_GB2312"/>
          <w:sz w:val="32"/>
          <w:szCs w:val="32"/>
        </w:rPr>
        <w:t>湟源县司法局2023年一般公共预算基本支出973.51万元，其中：</w:t>
      </w:r>
    </w:p>
    <w:p>
      <w:pPr>
        <w:ind w:firstLine="640" w:firstLineChars="200"/>
        <w:rPr>
          <w:rFonts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rPr>
        <w:t>895.67万元，主要包括：基本工资142.98万元、津贴补贴248.54万元、奖金150.11万元、绩效工资36.62万元、机关事业单位基本养老保险缴费66.74万元、职业年金缴费33.37万元、职工基本医疗保险缴费26.06万元、公务员医疗补助缴费32.07万元、其他社会保障缴费1.11万元、住房公积金62.24万元、退休费72.90万元、医疗费补助22.93万元；</w:t>
      </w:r>
    </w:p>
    <w:p>
      <w:pPr>
        <w:ind w:firstLine="640" w:firstLineChars="200"/>
        <w:rPr>
          <w:rFonts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rPr>
        <w:t>77.84万元，主要包括：办公费11.34万元、水费0.84万元、电费0.84万元、邮电费4.62万元、取暖费4.20万元、差旅费4.20万元、公务接待费1.26万元、工会经费8.01万元、公务用车运行维护费11.00万元、其他交通费用22.68万元、其他商品和服务支出8.85万元。</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rPr>
        <w:t>湟源县司法局2023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ascii="仿宋_GB2312" w:eastAsia="仿宋_GB2312"/>
          <w:sz w:val="32"/>
          <w:szCs w:val="32"/>
        </w:rPr>
      </w:pPr>
      <w:r>
        <w:rPr>
          <w:rFonts w:hint="eastAsia" w:ascii="仿宋_GB2312" w:eastAsia="仿宋_GB2312"/>
          <w:sz w:val="32"/>
          <w:szCs w:val="32"/>
        </w:rPr>
        <w:t>湟源县司法局2023年一般公共预算“三公”经费预算数为12.26万元，比上年增加0.00万元，其中：因公出国（境）费0.00万元，增加0.00万元；公务用车购置及运行费11.00万元，增加0.00万元；公务接待费1.26万元，增加0.00万元。2023年“三公”经费预</w:t>
      </w:r>
      <w:r>
        <w:rPr>
          <w:rFonts w:hint="eastAsia" w:ascii="仿宋_GB2312" w:eastAsia="仿宋_GB2312"/>
          <w:sz w:val="32"/>
          <w:szCs w:val="32"/>
          <w:highlight w:val="none"/>
        </w:rPr>
        <w:t>算</w:t>
      </w:r>
      <w:r>
        <w:rPr>
          <w:rFonts w:hint="eastAsia" w:ascii="仿宋_GB2312" w:eastAsia="仿宋_GB2312"/>
          <w:sz w:val="32"/>
          <w:szCs w:val="32"/>
          <w:highlight w:val="none"/>
          <w:lang w:val="en-US" w:eastAsia="zh-CN"/>
        </w:rPr>
        <w:t>与</w:t>
      </w:r>
      <w:r>
        <w:rPr>
          <w:rFonts w:hint="eastAsia" w:ascii="仿宋_GB2312" w:eastAsia="仿宋_GB2312"/>
          <w:sz w:val="32"/>
          <w:szCs w:val="32"/>
          <w:highlight w:val="none"/>
        </w:rPr>
        <w:t>上</w:t>
      </w:r>
      <w:r>
        <w:rPr>
          <w:rFonts w:hint="eastAsia" w:ascii="仿宋_GB2312" w:eastAsia="仿宋_GB2312"/>
          <w:sz w:val="32"/>
          <w:szCs w:val="32"/>
        </w:rPr>
        <w:t>年无增</w:t>
      </w:r>
      <w:bookmarkStart w:id="6" w:name="_GoBack"/>
      <w:bookmarkEnd w:id="6"/>
      <w:r>
        <w:rPr>
          <w:rFonts w:hint="eastAsia" w:ascii="仿宋_GB2312" w:eastAsia="仿宋_GB2312"/>
          <w:sz w:val="32"/>
          <w:szCs w:val="32"/>
        </w:rPr>
        <w:t>减变化。</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rPr>
        <w:t>湟源县司法局2023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ascii="仿宋_GB2312" w:eastAsia="仿宋_GB2312"/>
          <w:sz w:val="32"/>
          <w:szCs w:val="32"/>
        </w:rPr>
      </w:pPr>
      <w:r>
        <w:rPr>
          <w:rFonts w:hint="eastAsia" w:ascii="仿宋_GB2312" w:eastAsia="仿宋_GB2312"/>
          <w:sz w:val="32"/>
          <w:szCs w:val="32"/>
        </w:rPr>
        <w:t>湟源县司法局2023年没有使用政府性基金预算拨款安排的支出。</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2023年湟源县司法局机关运行经费财政拨款预算77.84万元，比</w:t>
      </w:r>
      <w:r>
        <w:rPr>
          <w:rFonts w:hint="eastAsia" w:ascii="仿宋_GB2312" w:eastAsia="仿宋_GB2312"/>
          <w:sz w:val="32"/>
          <w:szCs w:val="32"/>
        </w:rPr>
        <w:t>上</w:t>
      </w:r>
      <w:r>
        <w:rPr>
          <w:rFonts w:hint="eastAsia" w:ascii="仿宋_GB2312" w:hAnsi="仿宋" w:eastAsia="仿宋_GB2312"/>
          <w:spacing w:val="-6"/>
          <w:kern w:val="2"/>
          <w:sz w:val="32"/>
          <w:szCs w:val="32"/>
          <w:lang w:val="en-US"/>
        </w:rPr>
        <w:t>年预算减少3.77万元，下降4.62%。主要是</w:t>
      </w:r>
      <w:r>
        <w:rPr>
          <w:rFonts w:ascii="仿宋_GB2312" w:eastAsia="仿宋_GB2312"/>
          <w:sz w:val="32"/>
          <w:szCs w:val="32"/>
        </w:rPr>
        <w:t>差旅费、日常维修费</w:t>
      </w:r>
      <w:r>
        <w:rPr>
          <w:rFonts w:hint="eastAsia" w:ascii="仿宋_GB2312" w:eastAsia="仿宋_GB2312"/>
          <w:sz w:val="32"/>
          <w:szCs w:val="32"/>
          <w:lang w:val="en-US"/>
        </w:rPr>
        <w:t>等支出减少</w:t>
      </w:r>
      <w:r>
        <w:rPr>
          <w:rFonts w:hint="eastAsia" w:ascii="仿宋_GB2312" w:hAnsi="仿宋" w:eastAsia="仿宋_GB2312"/>
          <w:spacing w:val="-6"/>
          <w:kern w:val="2"/>
          <w:sz w:val="32"/>
          <w:szCs w:val="32"/>
          <w:lang w:val="en-US"/>
        </w:rPr>
        <w:t>。</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2023年湟源县司法局各单位政府采购预算总额0万元，其中：政府采购货物预算0万元、政府采购工程预算0万元、政府采购服务预算0万元。</w:t>
      </w:r>
    </w:p>
    <w:p>
      <w:pPr>
        <w:adjustRightInd w:val="0"/>
        <w:snapToGrid w:val="0"/>
        <w:spacing w:line="560" w:lineRule="exact"/>
        <w:ind w:firstLine="619" w:firstLineChars="200"/>
        <w:rPr>
          <w:rFonts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2月底，湟源县司法局所属各预算单位共有车辆11辆，其中，省级领导干部用车0辆、厅级领导干部用车0辆、一般公务用车2辆、一般执法执勤用车8辆、特种专业技术用车1辆、其他用车0辆。单价50万元以上通用设备0台（套），单价100万元以上专用设备0台（套）。</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2023年湟源县司法局预算均实行绩效目标管理，涉及项目5个，预算金额319.00万元。</w:t>
      </w:r>
    </w:p>
    <w:p>
      <w:pPr>
        <w:jc w:val="center"/>
        <w:rPr>
          <w:rFonts w:ascii="仿宋_GB2312" w:eastAsia="仿宋_GB2312"/>
          <w:b/>
          <w:sz w:val="32"/>
          <w:szCs w:val="32"/>
        </w:rPr>
      </w:pPr>
    </w:p>
    <w:tbl>
      <w:tblPr>
        <w:tblStyle w:val="9"/>
        <w:tblW w:w="10127" w:type="dxa"/>
        <w:tblInd w:w="-469" w:type="dxa"/>
        <w:tblLayout w:type="fixed"/>
        <w:tblCellMar>
          <w:top w:w="0" w:type="dxa"/>
          <w:left w:w="108" w:type="dxa"/>
          <w:bottom w:w="0" w:type="dxa"/>
          <w:right w:w="108" w:type="dxa"/>
        </w:tblCellMar>
      </w:tblPr>
      <w:tblGrid>
        <w:gridCol w:w="1312"/>
        <w:gridCol w:w="1075"/>
        <w:gridCol w:w="1400"/>
        <w:gridCol w:w="800"/>
        <w:gridCol w:w="825"/>
        <w:gridCol w:w="1838"/>
        <w:gridCol w:w="937"/>
        <w:gridCol w:w="963"/>
        <w:gridCol w:w="977"/>
      </w:tblGrid>
      <w:tr>
        <w:tblPrEx>
          <w:tblCellMar>
            <w:top w:w="0" w:type="dxa"/>
            <w:left w:w="108" w:type="dxa"/>
            <w:bottom w:w="0" w:type="dxa"/>
            <w:right w:w="108" w:type="dxa"/>
          </w:tblCellMar>
        </w:tblPrEx>
        <w:trPr>
          <w:trHeight w:val="420" w:hRule="atLeast"/>
        </w:trPr>
        <w:tc>
          <w:tcPr>
            <w:tcW w:w="10127" w:type="dxa"/>
            <w:gridSpan w:val="9"/>
            <w:tcBorders>
              <w:top w:val="nil"/>
              <w:left w:val="nil"/>
              <w:bottom w:val="nil"/>
              <w:right w:val="nil"/>
            </w:tcBorders>
            <w:shd w:val="clear" w:color="auto" w:fill="auto"/>
            <w:noWrap/>
            <w:vAlign w:val="center"/>
          </w:tcPr>
          <w:p>
            <w:pPr>
              <w:widowControl/>
              <w:jc w:val="center"/>
              <w:textAlignment w:val="center"/>
              <w:rPr>
                <w:rFonts w:ascii="黑体" w:hAnsi="宋体" w:eastAsia="黑体" w:cs="黑体"/>
                <w:b/>
                <w:bCs/>
                <w:color w:val="000000"/>
                <w:sz w:val="32"/>
                <w:szCs w:val="32"/>
              </w:rPr>
            </w:pPr>
            <w:r>
              <w:rPr>
                <w:rFonts w:hint="eastAsia" w:ascii="黑体" w:hAnsi="宋体" w:eastAsia="黑体" w:cs="黑体"/>
                <w:b/>
                <w:bCs/>
                <w:color w:val="000000"/>
                <w:kern w:val="0"/>
                <w:sz w:val="32"/>
                <w:szCs w:val="32"/>
              </w:rPr>
              <w:t xml:space="preserve"> 部门预算项目支出绩效目标公开表</w:t>
            </w:r>
          </w:p>
        </w:tc>
      </w:tr>
      <w:tr>
        <w:tblPrEx>
          <w:tblCellMar>
            <w:top w:w="0" w:type="dxa"/>
            <w:left w:w="108" w:type="dxa"/>
            <w:bottom w:w="0" w:type="dxa"/>
            <w:right w:w="108" w:type="dxa"/>
          </w:tblCellMar>
        </w:tblPrEx>
        <w:trPr>
          <w:trHeight w:val="280" w:hRule="atLeast"/>
        </w:trPr>
        <w:tc>
          <w:tcPr>
            <w:tcW w:w="3787" w:type="dxa"/>
            <w:gridSpan w:val="3"/>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预算年度：2023</w:t>
            </w:r>
          </w:p>
        </w:tc>
        <w:tc>
          <w:tcPr>
            <w:tcW w:w="800"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825"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1838"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937" w:type="dxa"/>
            <w:tcBorders>
              <w:top w:val="nil"/>
              <w:left w:val="nil"/>
              <w:bottom w:val="nil"/>
              <w:right w:val="nil"/>
            </w:tcBorders>
            <w:shd w:val="clear" w:color="auto" w:fill="auto"/>
            <w:vAlign w:val="center"/>
          </w:tcPr>
          <w:p>
            <w:pPr>
              <w:jc w:val="center"/>
              <w:rPr>
                <w:rFonts w:ascii="宋体" w:hAnsi="宋体" w:cs="宋体"/>
                <w:color w:val="000000"/>
                <w:sz w:val="18"/>
                <w:szCs w:val="18"/>
              </w:rPr>
            </w:pPr>
          </w:p>
        </w:tc>
        <w:tc>
          <w:tcPr>
            <w:tcW w:w="1940" w:type="dxa"/>
            <w:gridSpan w:val="2"/>
            <w:tcBorders>
              <w:top w:val="nil"/>
              <w:left w:val="nil"/>
              <w:bottom w:val="nil"/>
              <w:right w:val="nil"/>
            </w:tcBorders>
            <w:shd w:val="clear" w:color="auto" w:fill="auto"/>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金额单位：万元</w:t>
            </w:r>
          </w:p>
        </w:tc>
      </w:tr>
      <w:tr>
        <w:tblPrEx>
          <w:tblCellMar>
            <w:top w:w="0" w:type="dxa"/>
            <w:left w:w="108" w:type="dxa"/>
            <w:bottom w:w="0" w:type="dxa"/>
            <w:right w:w="108" w:type="dxa"/>
          </w:tblCellMar>
        </w:tblPrEx>
        <w:trPr>
          <w:trHeight w:val="280" w:hRule="atLeast"/>
        </w:trPr>
        <w:tc>
          <w:tcPr>
            <w:tcW w:w="13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项目名称</w:t>
            </w:r>
          </w:p>
        </w:tc>
        <w:tc>
          <w:tcPr>
            <w:tcW w:w="10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批复数</w:t>
            </w:r>
          </w:p>
        </w:tc>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绩效目标</w:t>
            </w:r>
          </w:p>
        </w:tc>
        <w:tc>
          <w:tcPr>
            <w:tcW w:w="34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绩效指标性质</w:t>
            </w:r>
          </w:p>
        </w:tc>
        <w:tc>
          <w:tcPr>
            <w:tcW w:w="9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绩效指标值</w:t>
            </w:r>
          </w:p>
        </w:tc>
        <w:tc>
          <w:tcPr>
            <w:tcW w:w="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绩效度量单位</w:t>
            </w:r>
          </w:p>
        </w:tc>
      </w:tr>
      <w:tr>
        <w:tblPrEx>
          <w:tblCellMar>
            <w:top w:w="0" w:type="dxa"/>
            <w:left w:w="108" w:type="dxa"/>
            <w:bottom w:w="0" w:type="dxa"/>
            <w:right w:w="108" w:type="dxa"/>
          </w:tblCellMar>
        </w:tblPrEx>
        <w:trPr>
          <w:trHeight w:val="280" w:hRule="atLeast"/>
        </w:trPr>
        <w:tc>
          <w:tcPr>
            <w:tcW w:w="13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一级指标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二级指标</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三级指标</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840" w:hRule="atLeast"/>
        </w:trPr>
        <w:tc>
          <w:tcPr>
            <w:tcW w:w="13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中央政法纪检监察转移支付资金</w:t>
            </w:r>
          </w:p>
        </w:tc>
        <w:tc>
          <w:tcPr>
            <w:tcW w:w="10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289.00</w:t>
            </w:r>
          </w:p>
        </w:tc>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9"/>
                <w:rFonts w:hint="default"/>
              </w:rPr>
              <w:t>正常开展司法业务</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9"/>
                <w:rFonts w:hint="default"/>
              </w:rPr>
              <w:t>质量指标</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9"/>
                <w:rFonts w:hint="default"/>
              </w:rPr>
              <w:t>社区矫正教育等级优良率</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95</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840" w:hRule="atLeast"/>
        </w:trPr>
        <w:tc>
          <w:tcPr>
            <w:tcW w:w="13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9"/>
                <w:rFonts w:hint="default"/>
              </w:rPr>
              <w:t>社会效益指标</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9"/>
                <w:rFonts w:hint="default"/>
              </w:rPr>
              <w:t>社区矫正效果群众满意度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95</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840" w:hRule="atLeast"/>
        </w:trPr>
        <w:tc>
          <w:tcPr>
            <w:tcW w:w="13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9"/>
                <w:rFonts w:hint="default"/>
              </w:rPr>
              <w:t>服务对象满意度指标</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9"/>
                <w:rFonts w:hint="default"/>
              </w:rPr>
              <w:t>社区矫正人员满意度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95</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280" w:hRule="atLeast"/>
        </w:trPr>
        <w:tc>
          <w:tcPr>
            <w:tcW w:w="13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政府法律顾问</w:t>
            </w:r>
          </w:p>
        </w:tc>
        <w:tc>
          <w:tcPr>
            <w:tcW w:w="10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10.00</w:t>
            </w:r>
          </w:p>
        </w:tc>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9"/>
                <w:rFonts w:hint="default"/>
              </w:rPr>
              <w:t>区政府专业法律咨询及行政复议、行政诉讼代理。</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9"/>
                <w:rFonts w:hint="default"/>
              </w:rPr>
              <w:t>数量指标</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9"/>
                <w:rFonts w:hint="default"/>
              </w:rPr>
              <w:t>办结率</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95</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1400" w:hRule="atLeast"/>
        </w:trPr>
        <w:tc>
          <w:tcPr>
            <w:tcW w:w="13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9"/>
                <w:rFonts w:hint="default"/>
              </w:rPr>
              <w:t>社会效益指标</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9"/>
                <w:rFonts w:hint="default"/>
              </w:rPr>
              <w:t>推进法治政府建设，维护社会公平正义</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840" w:hRule="atLeast"/>
        </w:trPr>
        <w:tc>
          <w:tcPr>
            <w:tcW w:w="13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9"/>
                <w:rFonts w:hint="default"/>
              </w:rPr>
              <w:t>服务对象满意度指标</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9"/>
                <w:rFonts w:hint="default"/>
              </w:rPr>
              <w:t>各单位满意率</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95</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3360" w:hRule="atLeast"/>
        </w:trPr>
        <w:tc>
          <w:tcPr>
            <w:tcW w:w="13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普法宣传</w:t>
            </w:r>
          </w:p>
        </w:tc>
        <w:tc>
          <w:tcPr>
            <w:tcW w:w="10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3.00</w:t>
            </w:r>
          </w:p>
        </w:tc>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9"/>
                <w:rFonts w:hint="default"/>
              </w:rPr>
              <w:t>通过普法宣传加强了公民法律意识，提高了公民学法守法用法的自觉性和积极性。普法宣传活动进一步引导居民明辨是非、崇礼守法，增强法治观念学会用法律武器维护自身的合法权益。</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9"/>
                <w:rFonts w:hint="default"/>
              </w:rPr>
              <w:t>质量指标</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9"/>
                <w:rFonts w:hint="default"/>
              </w:rPr>
              <w:t>加强公民意识，提高学法守法用法的自觉性和积极性。打造法治建设阵地，全面覆盖，提升法治建设广度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优良中低差</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80" w:hRule="atLeast"/>
        </w:trPr>
        <w:tc>
          <w:tcPr>
            <w:tcW w:w="13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9"/>
                <w:rFonts w:hint="default"/>
              </w:rPr>
              <w:t>社会效益指标</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9"/>
                <w:rFonts w:hint="default"/>
              </w:rPr>
              <w:t>法治宣传活动与群众需求性普法相结合，为依法治县、八五普法建设提供了坚强的法治保障。</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优良中低差</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840" w:hRule="atLeast"/>
        </w:trPr>
        <w:tc>
          <w:tcPr>
            <w:tcW w:w="13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9"/>
                <w:rFonts w:hint="default"/>
              </w:rPr>
              <w:t>服务对象满意度指标</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9"/>
                <w:rFonts w:hint="default"/>
              </w:rPr>
              <w:t>接受法律宣传群众满意度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1120" w:hRule="atLeast"/>
        </w:trPr>
        <w:tc>
          <w:tcPr>
            <w:tcW w:w="13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社区矫正</w:t>
            </w:r>
          </w:p>
        </w:tc>
        <w:tc>
          <w:tcPr>
            <w:tcW w:w="10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8.00</w:t>
            </w:r>
          </w:p>
        </w:tc>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9"/>
                <w:rFonts w:hint="default"/>
              </w:rPr>
              <w:t>通过加强社区矫正信息化建设，不断提高社区矫正依法全面推进水平，有效预防和减少重新犯罪，维护社会稳定，创新教育矫正方法，预防和减少重新违法犯罪，为维护社会和谐稳定，建设平安湟源、全面提升社区矫正工作水平。</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9"/>
                <w:rFonts w:hint="default"/>
              </w:rPr>
              <w:t>数量指标</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9"/>
                <w:rFonts w:hint="default"/>
              </w:rPr>
              <w:t>完成全县社区矫正普法宣传工作</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次</w:t>
            </w:r>
          </w:p>
        </w:tc>
      </w:tr>
      <w:tr>
        <w:tblPrEx>
          <w:tblCellMar>
            <w:top w:w="0" w:type="dxa"/>
            <w:left w:w="108" w:type="dxa"/>
            <w:bottom w:w="0" w:type="dxa"/>
            <w:right w:w="108" w:type="dxa"/>
          </w:tblCellMar>
        </w:tblPrEx>
        <w:trPr>
          <w:trHeight w:val="4200" w:hRule="atLeast"/>
        </w:trPr>
        <w:tc>
          <w:tcPr>
            <w:tcW w:w="13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9"/>
                <w:rFonts w:hint="default"/>
              </w:rPr>
              <w:t>社会效益指标</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9"/>
                <w:rFonts w:hint="default"/>
              </w:rPr>
              <w:t>不断提高社区矫正依法全面推进水平，有效预防和减少重新犯罪，维护社会稳定，创新教育矫正方法，预防和减少重新违法犯罪，</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优良中低差</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840" w:hRule="atLeast"/>
        </w:trPr>
        <w:tc>
          <w:tcPr>
            <w:tcW w:w="13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9"/>
                <w:rFonts w:hint="default"/>
              </w:rPr>
              <w:t>服务对象满意度指标</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9"/>
                <w:rFonts w:hint="default"/>
              </w:rPr>
              <w:t>矫正人员满意度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优良中低差</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120" w:hRule="atLeast"/>
        </w:trPr>
        <w:tc>
          <w:tcPr>
            <w:tcW w:w="13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基层司法所业务经费</w:t>
            </w:r>
          </w:p>
        </w:tc>
        <w:tc>
          <w:tcPr>
            <w:tcW w:w="10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9.00</w:t>
            </w:r>
          </w:p>
        </w:tc>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9"/>
                <w:rFonts w:hint="default"/>
              </w:rPr>
              <w:t>正常开展司法所业务，完成上级及乡政府交办的业务　</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9"/>
                <w:rFonts w:hint="default"/>
              </w:rPr>
              <w:t>质量指标</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9"/>
                <w:rFonts w:hint="default"/>
              </w:rPr>
              <w:t>法律援助案件质量等级优良率</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95</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840" w:hRule="atLeast"/>
        </w:trPr>
        <w:tc>
          <w:tcPr>
            <w:tcW w:w="13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9"/>
                <w:rFonts w:hint="default"/>
              </w:rPr>
              <w:t>可持续影响指标</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9"/>
                <w:rFonts w:hint="default"/>
              </w:rPr>
              <w:t>法律服务专线接通率</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840" w:hRule="atLeast"/>
        </w:trPr>
        <w:tc>
          <w:tcPr>
            <w:tcW w:w="13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9"/>
                <w:rFonts w:hint="default"/>
              </w:rPr>
              <w:t>服务对象满意度指标</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9"/>
                <w:rFonts w:hint="default"/>
              </w:rPr>
              <w:t>受法律援助群众满意度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99</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bl>
    <w:p>
      <w:pPr>
        <w:rPr>
          <w:rFonts w:ascii="仿宋_GB2312" w:eastAsia="仿宋_GB2312"/>
          <w:b/>
          <w:sz w:val="32"/>
          <w:szCs w:val="32"/>
        </w:rPr>
      </w:pPr>
    </w:p>
    <w:p>
      <w:pPr>
        <w:jc w:val="center"/>
        <w:rPr>
          <w:rFonts w:ascii="仿宋_GB2312" w:eastAsia="仿宋_GB2312"/>
          <w:b/>
          <w:sz w:val="32"/>
          <w:szCs w:val="32"/>
        </w:rPr>
      </w:pPr>
    </w:p>
    <w:p>
      <w:pPr>
        <w:ind w:firstLine="640" w:firstLineChars="200"/>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其中：一般公共预算拨款收入包括财政部门经费拨款、专项收入、行政事业性收费收入、罚没收入、国有资源（资产）有偿使用收入和其他收入。</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上年结转和结余：</w:t>
      </w:r>
      <w:r>
        <w:rPr>
          <w:rFonts w:ascii="仿宋_GB2312" w:eastAsia="仿宋_GB2312"/>
          <w:sz w:val="32"/>
          <w:szCs w:val="32"/>
        </w:rPr>
        <w:t>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ascii="宋体" w:hAnsi="宋体"/>
          <w:b/>
          <w:sz w:val="32"/>
          <w:szCs w:val="32"/>
        </w:rPr>
      </w:pPr>
      <w:r>
        <w:rPr>
          <w:rFonts w:hint="eastAsia" w:ascii="黑体" w:hAnsi="宋体" w:eastAsia="黑体"/>
          <w:color w:val="000000"/>
          <w:sz w:val="32"/>
          <w:szCs w:val="32"/>
        </w:rPr>
        <w:t>二、支出类</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（三）一般公共预算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rPr>
        <w:t>部门</w:t>
      </w:r>
      <w:r>
        <w:rPr>
          <w:rFonts w:ascii="仿宋_GB2312" w:eastAsia="仿宋_GB2312"/>
          <w:sz w:val="32"/>
          <w:szCs w:val="32"/>
        </w:rPr>
        <w:t>按规定开支的各类公务接待（含外宾接待）支出。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（四）</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rPr>
        <w:t>部门</w:t>
      </w:r>
      <w:r>
        <w:rPr>
          <w:rFonts w:ascii="仿宋_GB2312" w:eastAsia="仿宋_GB2312"/>
          <w:sz w:val="32"/>
          <w:szCs w:val="32"/>
        </w:rPr>
        <w:t>（含参照公务员法管理的事业</w:t>
      </w:r>
      <w:r>
        <w:rPr>
          <w:rFonts w:hint="eastAsia" w:ascii="仿宋_GB2312" w:eastAsia="仿宋_GB2312"/>
          <w:sz w:val="32"/>
          <w:szCs w:val="32"/>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rFonts w:ascii="仿宋_GB2312" w:eastAsia="仿宋_GB2312"/>
          <w:sz w:val="32"/>
          <w:szCs w:val="32"/>
        </w:rPr>
      </w:pPr>
      <w:r>
        <w:rPr>
          <w:rFonts w:hint="eastAsia" w:ascii="仿宋_GB2312" w:eastAsia="仿宋_GB2312"/>
          <w:b/>
          <w:bCs/>
          <w:sz w:val="32"/>
          <w:szCs w:val="32"/>
        </w:rPr>
        <w:t>（一）公共安全支出（类）司法（款）行政运行（项）：</w:t>
      </w:r>
      <w:r>
        <w:rPr>
          <w:rFonts w:hint="eastAsia" w:ascii="仿宋_GB2312" w:eastAsia="仿宋_GB2312"/>
          <w:sz w:val="32"/>
          <w:szCs w:val="32"/>
        </w:rPr>
        <w:t>反映行政单位（包括实行公务员管理的事业单位）的基本支出。</w:t>
      </w:r>
    </w:p>
    <w:p>
      <w:pPr>
        <w:ind w:firstLine="643" w:firstLineChars="200"/>
        <w:rPr>
          <w:rFonts w:ascii="仿宋_GB2312" w:eastAsia="仿宋_GB2312"/>
          <w:sz w:val="32"/>
          <w:szCs w:val="32"/>
        </w:rPr>
      </w:pPr>
      <w:r>
        <w:rPr>
          <w:rFonts w:hint="eastAsia" w:ascii="仿宋_GB2312" w:eastAsia="仿宋_GB2312"/>
          <w:b/>
          <w:bCs/>
          <w:sz w:val="32"/>
          <w:szCs w:val="32"/>
        </w:rPr>
        <w:t>（二）</w:t>
      </w:r>
      <w:r>
        <w:rPr>
          <w:rFonts w:ascii="仿宋_GB2312" w:eastAsia="仿宋_GB2312"/>
          <w:b/>
          <w:bCs/>
          <w:sz w:val="32"/>
          <w:szCs w:val="32"/>
        </w:rPr>
        <w:t>公共安全支出（类）司法（款）基层司法业务</w:t>
      </w:r>
      <w:r>
        <w:rPr>
          <w:rFonts w:hint="eastAsia" w:ascii="仿宋_GB2312" w:eastAsia="仿宋_GB2312"/>
          <w:b/>
          <w:bCs/>
          <w:sz w:val="32"/>
          <w:szCs w:val="32"/>
        </w:rPr>
        <w:t>（项）：</w:t>
      </w:r>
      <w:r>
        <w:rPr>
          <w:rFonts w:hint="eastAsia" w:ascii="仿宋_GB2312" w:eastAsia="仿宋_GB2312"/>
          <w:sz w:val="32"/>
          <w:szCs w:val="32"/>
        </w:rPr>
        <w:t>反映各级司法行政部门用于基层业务的支出，包括基层工作指导费、调解费、安置帮教费、司法所经费和公共法律服务平台相关支出、人民陪审员选任管理费用、人民监督员选任管理费用等支出。</w:t>
      </w:r>
    </w:p>
    <w:p>
      <w:pPr>
        <w:ind w:firstLine="643" w:firstLineChars="200"/>
        <w:rPr>
          <w:rFonts w:ascii="仿宋_GB2312" w:eastAsia="仿宋_GB2312"/>
          <w:sz w:val="32"/>
          <w:szCs w:val="32"/>
        </w:rPr>
      </w:pPr>
      <w:r>
        <w:rPr>
          <w:rFonts w:hint="eastAsia" w:ascii="仿宋_GB2312" w:eastAsia="仿宋_GB2312"/>
          <w:b/>
          <w:bCs/>
          <w:sz w:val="32"/>
          <w:szCs w:val="32"/>
        </w:rPr>
        <w:t>（三）</w:t>
      </w:r>
      <w:r>
        <w:rPr>
          <w:rFonts w:ascii="仿宋_GB2312" w:eastAsia="仿宋_GB2312"/>
          <w:b/>
          <w:bCs/>
          <w:sz w:val="32"/>
          <w:szCs w:val="32"/>
        </w:rPr>
        <w:t>公共安全支出（类）司法（款）普法宣传</w:t>
      </w:r>
      <w:r>
        <w:rPr>
          <w:rFonts w:hint="eastAsia" w:ascii="仿宋_GB2312" w:eastAsia="仿宋_GB2312"/>
          <w:b/>
          <w:bCs/>
          <w:sz w:val="32"/>
          <w:szCs w:val="32"/>
        </w:rPr>
        <w:t>（项）：</w:t>
      </w:r>
      <w:r>
        <w:rPr>
          <w:rFonts w:hint="eastAsia" w:ascii="仿宋_GB2312" w:eastAsia="仿宋_GB2312"/>
          <w:sz w:val="32"/>
          <w:szCs w:val="32"/>
        </w:rPr>
        <w:t>反映各级司法行政部门用于组织各种媒体的宣传、普法装备与设施、宣传资料、对外宣传、法制作品的审读评审等方面的支出。</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（四）公共安全支出（类）司法（款）律师管理（项）：</w:t>
      </w:r>
      <w:r>
        <w:rPr>
          <w:rFonts w:hint="eastAsia" w:ascii="仿宋_GB2312" w:hAnsi="仿宋" w:eastAsia="仿宋_GB2312"/>
          <w:bCs/>
          <w:spacing w:val="-6"/>
          <w:sz w:val="32"/>
          <w:szCs w:val="32"/>
        </w:rPr>
        <w:t>反映司法行政部门用于律师管理和法律顾问的相关支出。</w:t>
      </w:r>
    </w:p>
    <w:p>
      <w:pPr>
        <w:ind w:firstLine="643" w:firstLineChars="200"/>
        <w:rPr>
          <w:rFonts w:ascii="仿宋_GB2312" w:eastAsia="仿宋_GB2312"/>
          <w:sz w:val="32"/>
          <w:szCs w:val="32"/>
        </w:rPr>
      </w:pPr>
      <w:r>
        <w:rPr>
          <w:rFonts w:hint="eastAsia" w:ascii="仿宋_GB2312" w:eastAsia="仿宋_GB2312"/>
          <w:b/>
          <w:bCs/>
          <w:sz w:val="32"/>
          <w:szCs w:val="32"/>
        </w:rPr>
        <w:t>（五）</w:t>
      </w:r>
      <w:r>
        <w:rPr>
          <w:rFonts w:ascii="仿宋_GB2312" w:eastAsia="仿宋_GB2312"/>
          <w:b/>
          <w:bCs/>
          <w:sz w:val="32"/>
          <w:szCs w:val="32"/>
        </w:rPr>
        <w:t>公共安全支出（类）司法（款）社区矫正</w:t>
      </w:r>
      <w:r>
        <w:rPr>
          <w:rFonts w:hint="eastAsia" w:ascii="仿宋_GB2312" w:eastAsia="仿宋_GB2312"/>
          <w:b/>
          <w:bCs/>
          <w:sz w:val="32"/>
          <w:szCs w:val="32"/>
        </w:rPr>
        <w:t>(项）：</w:t>
      </w:r>
      <w:r>
        <w:rPr>
          <w:rFonts w:hint="eastAsia" w:ascii="仿宋_GB2312" w:eastAsia="仿宋_GB2312"/>
          <w:sz w:val="32"/>
          <w:szCs w:val="32"/>
        </w:rPr>
        <w:t>反映司法行政部门用于社区矫正的相关支出。</w:t>
      </w:r>
    </w:p>
    <w:p>
      <w:pPr>
        <w:ind w:firstLine="643" w:firstLineChars="200"/>
        <w:rPr>
          <w:rFonts w:ascii="仿宋_GB2312" w:eastAsia="仿宋_GB2312"/>
          <w:sz w:val="32"/>
          <w:szCs w:val="32"/>
        </w:rPr>
      </w:pPr>
      <w:r>
        <w:rPr>
          <w:rFonts w:hint="eastAsia" w:ascii="仿宋_GB2312" w:eastAsia="仿宋_GB2312"/>
          <w:b/>
          <w:bCs/>
          <w:sz w:val="32"/>
          <w:szCs w:val="32"/>
        </w:rPr>
        <w:t>（六）</w:t>
      </w:r>
      <w:r>
        <w:rPr>
          <w:rFonts w:ascii="仿宋_GB2312" w:eastAsia="仿宋_GB2312"/>
          <w:b/>
          <w:bCs/>
          <w:sz w:val="32"/>
          <w:szCs w:val="32"/>
        </w:rPr>
        <w:t>公共安全支出（类）司法（款）其他司法支出</w:t>
      </w:r>
      <w:r>
        <w:rPr>
          <w:rFonts w:hint="eastAsia" w:ascii="仿宋_GB2312" w:eastAsia="仿宋_GB2312"/>
          <w:b/>
          <w:bCs/>
          <w:sz w:val="32"/>
          <w:szCs w:val="32"/>
        </w:rPr>
        <w:t>（项）：</w:t>
      </w:r>
      <w:r>
        <w:rPr>
          <w:rFonts w:hint="eastAsia" w:ascii="仿宋_GB2312" w:eastAsia="仿宋_GB2312"/>
          <w:sz w:val="32"/>
          <w:szCs w:val="32"/>
        </w:rPr>
        <w:t>反映除上述项目以外其他用于司法方面的支出。</w:t>
      </w:r>
    </w:p>
    <w:p>
      <w:pPr>
        <w:ind w:firstLine="643" w:firstLineChars="200"/>
        <w:rPr>
          <w:rFonts w:ascii="仿宋_GB2312" w:eastAsia="仿宋_GB2312"/>
          <w:sz w:val="32"/>
          <w:szCs w:val="32"/>
        </w:rPr>
      </w:pPr>
      <w:r>
        <w:rPr>
          <w:rFonts w:hint="eastAsia" w:ascii="仿宋_GB2312" w:eastAsia="仿宋_GB2312"/>
          <w:b/>
          <w:bCs/>
          <w:sz w:val="32"/>
          <w:szCs w:val="32"/>
        </w:rPr>
        <w:t>（七）社会保障和就业支出（类）行政事业单位养老支出（款）机关事业单位基本养老保险缴费支出（项）：</w:t>
      </w:r>
      <w:r>
        <w:rPr>
          <w:rFonts w:hint="eastAsia" w:ascii="仿宋_GB2312" w:eastAsia="仿宋_GB2312"/>
          <w:sz w:val="32"/>
          <w:szCs w:val="32"/>
        </w:rPr>
        <w:t>反映机关事业单位实施养老保险制度由单位缴纳的基本养老保险费支出。</w:t>
      </w:r>
    </w:p>
    <w:p>
      <w:pPr>
        <w:ind w:firstLine="643" w:firstLineChars="200"/>
        <w:rPr>
          <w:rFonts w:ascii="仿宋_GB2312" w:eastAsia="仿宋_GB2312"/>
          <w:sz w:val="32"/>
          <w:szCs w:val="32"/>
        </w:rPr>
      </w:pPr>
      <w:r>
        <w:rPr>
          <w:rFonts w:hint="eastAsia" w:ascii="仿宋_GB2312" w:eastAsia="仿宋_GB2312"/>
          <w:b/>
          <w:bCs/>
          <w:sz w:val="32"/>
          <w:szCs w:val="32"/>
        </w:rPr>
        <w:t>（八）社会保障和就业支出（类）行政事业单位养老支出（款）机关事业单位职业年金缴费支出（项）：</w:t>
      </w:r>
      <w:r>
        <w:rPr>
          <w:rFonts w:hint="eastAsia" w:ascii="仿宋_GB2312" w:eastAsia="仿宋_GB2312"/>
          <w:sz w:val="32"/>
          <w:szCs w:val="32"/>
        </w:rPr>
        <w:t>反映机关事业单位实施养老保险制度由单位实际缴纳的职业年金支出。</w:t>
      </w:r>
    </w:p>
    <w:p>
      <w:pPr>
        <w:ind w:firstLine="643" w:firstLineChars="200"/>
        <w:rPr>
          <w:rFonts w:ascii="仿宋_GB2312" w:eastAsia="仿宋_GB2312"/>
          <w:sz w:val="32"/>
          <w:szCs w:val="32"/>
        </w:rPr>
      </w:pPr>
      <w:r>
        <w:rPr>
          <w:rFonts w:hint="eastAsia" w:ascii="仿宋_GB2312" w:eastAsia="仿宋_GB2312"/>
          <w:b/>
          <w:bCs/>
          <w:sz w:val="32"/>
          <w:szCs w:val="32"/>
        </w:rPr>
        <w:t>（九）社会保障和就业支出（类）行政事业单位养老支出（款）其他行政事业单位养老支出（项）：</w:t>
      </w:r>
      <w:r>
        <w:rPr>
          <w:rFonts w:hint="eastAsia" w:ascii="仿宋_GB2312" w:eastAsia="仿宋_GB2312"/>
          <w:sz w:val="32"/>
          <w:szCs w:val="32"/>
        </w:rPr>
        <w:t>反映除上述项目以外其他用于行政事业单位养老方面的支出。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（十）社会保障和就业支出（类）其他社会保障和就业支出（款）其他社会保障和就业支出（项）:</w:t>
      </w:r>
      <w:r>
        <w:rPr>
          <w:rFonts w:hint="eastAsia" w:ascii="仿宋_GB2312" w:hAnsi="仿宋" w:eastAsia="仿宋_GB2312"/>
          <w:bCs/>
          <w:spacing w:val="-6"/>
          <w:sz w:val="32"/>
          <w:szCs w:val="32"/>
        </w:rPr>
        <w:t>反映除上述项目以外其他用于社会保障和就业方面的支出。</w:t>
      </w:r>
    </w:p>
    <w:p>
      <w:pPr>
        <w:ind w:firstLine="643" w:firstLineChars="200"/>
        <w:rPr>
          <w:rFonts w:ascii="仿宋_GB2312" w:eastAsia="仿宋_GB2312"/>
          <w:sz w:val="32"/>
          <w:szCs w:val="32"/>
        </w:rPr>
      </w:pPr>
      <w:r>
        <w:rPr>
          <w:rFonts w:hint="eastAsia" w:ascii="仿宋_GB2312" w:eastAsia="仿宋_GB2312"/>
          <w:b/>
          <w:bCs/>
          <w:sz w:val="32"/>
          <w:szCs w:val="32"/>
        </w:rPr>
        <w:t>（十一）卫生健康支出（类）行政事业单位医疗（款）行政单位医疗（项）：</w:t>
      </w:r>
      <w:r>
        <w:rPr>
          <w:rFonts w:hint="eastAsia" w:ascii="仿宋_GB2312" w:eastAsia="仿宋_GB2312"/>
          <w:sz w:val="32"/>
          <w:szCs w:val="32"/>
        </w:rPr>
        <w:t>反映财政部门安排的行政单位（包括实行公务员管理的事业单位，下同）基本医疗保险缴费经费、未参加医疗保险的行政单位的公费医疗经费，按国家规定享受离休人员、红军老战士待遇人员的医疗经费。</w:t>
      </w:r>
    </w:p>
    <w:p>
      <w:pPr>
        <w:ind w:firstLine="643" w:firstLineChars="200"/>
        <w:rPr>
          <w:rFonts w:ascii="仿宋_GB2312" w:eastAsia="仿宋_GB2312"/>
          <w:sz w:val="32"/>
          <w:szCs w:val="32"/>
        </w:rPr>
      </w:pPr>
      <w:r>
        <w:rPr>
          <w:rFonts w:hint="eastAsia" w:ascii="仿宋_GB2312" w:eastAsia="仿宋_GB2312"/>
          <w:b/>
          <w:bCs/>
          <w:sz w:val="32"/>
          <w:szCs w:val="32"/>
        </w:rPr>
        <w:t>（十二）卫生健康支出（类）行政事业单位医疗（款）事业单位医疗（项）：</w:t>
      </w:r>
      <w:r>
        <w:rPr>
          <w:rFonts w:hint="eastAsia" w:ascii="仿宋_GB2312" w:eastAsia="仿宋_GB2312"/>
          <w:sz w:val="32"/>
          <w:szCs w:val="32"/>
        </w:rPr>
        <w:t>反映财政部门安排的事业单位基本医疗保险缴费经费，未参加医疗保险的事业单位的公费医疗经费，按国家规定享受离休人员待遇的医疗经费。</w:t>
      </w:r>
    </w:p>
    <w:p>
      <w:pPr>
        <w:ind w:firstLine="643" w:firstLineChars="200"/>
        <w:rPr>
          <w:rFonts w:ascii="仿宋_GB2312" w:eastAsia="仿宋_GB2312"/>
          <w:sz w:val="32"/>
          <w:szCs w:val="32"/>
        </w:rPr>
      </w:pPr>
      <w:r>
        <w:rPr>
          <w:rFonts w:hint="eastAsia" w:ascii="仿宋_GB2312" w:eastAsia="仿宋_GB2312"/>
          <w:b/>
          <w:bCs/>
          <w:sz w:val="32"/>
          <w:szCs w:val="32"/>
        </w:rPr>
        <w:t>（十三）卫生健康支出（类）行政事业单位医疗（款）公务员医疗补助（项）：</w:t>
      </w:r>
      <w:r>
        <w:rPr>
          <w:rFonts w:hint="eastAsia" w:ascii="仿宋_GB2312" w:eastAsia="仿宋_GB2312"/>
          <w:sz w:val="32"/>
          <w:szCs w:val="32"/>
        </w:rPr>
        <w:t>反映财政部门安排的公务员医疗补助经费。</w:t>
      </w:r>
    </w:p>
    <w:p>
      <w:pPr>
        <w:ind w:firstLine="643" w:firstLineChars="200"/>
        <w:rPr>
          <w:rFonts w:ascii="仿宋_GB2312" w:eastAsia="仿宋_GB2312"/>
          <w:sz w:val="32"/>
          <w:szCs w:val="32"/>
        </w:rPr>
      </w:pPr>
      <w:r>
        <w:rPr>
          <w:rFonts w:hint="eastAsia" w:ascii="仿宋_GB2312" w:eastAsia="仿宋_GB2312"/>
          <w:b/>
          <w:bCs/>
          <w:sz w:val="32"/>
          <w:szCs w:val="32"/>
        </w:rPr>
        <w:t>（十四）住房保障支出（类）住房改革支出（款）住房公积金（项）：</w:t>
      </w:r>
      <w:r>
        <w:rPr>
          <w:rFonts w:hint="eastAsia" w:ascii="仿宋_GB2312" w:eastAsia="仿宋_GB2312"/>
          <w:sz w:val="32"/>
          <w:szCs w:val="32"/>
        </w:rPr>
        <w:t>反映行政事业单位按人力资源和社会保障部、财政部规定的基本工资和津贴补贴以及规定比例为职工缴纳的住房公积金。</w:t>
      </w:r>
    </w:p>
    <w:p>
      <w:pPr>
        <w:ind w:firstLine="640" w:firstLineChars="200"/>
        <w:rPr>
          <w:rFonts w:ascii="黑体" w:hAnsi="黑体" w:eastAsia="黑体"/>
          <w:sz w:val="32"/>
          <w:szCs w:val="32"/>
        </w:rPr>
      </w:pPr>
      <w:r>
        <w:rPr>
          <w:rFonts w:hint="eastAsia" w:ascii="黑体" w:hAnsi="黑体" w:eastAsia="黑体"/>
          <w:sz w:val="32"/>
          <w:szCs w:val="32"/>
        </w:rPr>
        <w:t>四、部门专业类名词</w:t>
      </w:r>
    </w:p>
    <w:p>
      <w:pPr>
        <w:adjustRightInd w:val="0"/>
        <w:snapToGrid w:val="0"/>
        <w:spacing w:line="560" w:lineRule="exact"/>
        <w:ind w:firstLine="640" w:firstLineChars="200"/>
      </w:pPr>
      <w:r>
        <w:rPr>
          <w:rFonts w:hint="eastAsia" w:ascii="仿宋_GB2312" w:eastAsia="仿宋_GB2312"/>
          <w:sz w:val="32"/>
          <w:szCs w:val="32"/>
        </w:rPr>
        <w:t>无。</w:t>
      </w:r>
    </w:p>
    <w:sectPr>
      <w:headerReference r:id="rId3" w:type="default"/>
      <w:footerReference r:id="rId4" w:type="default"/>
      <w:footerReference r:id="rId5" w:type="even"/>
      <w:pgSz w:w="11906" w:h="16838"/>
      <w:pgMar w:top="1440" w:right="1531" w:bottom="1440" w:left="153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1</w:t>
    </w:r>
    <w:r>
      <w:rPr>
        <w:rStyle w:val="11"/>
      </w:rPr>
      <w:fldChar w:fldCharType="end"/>
    </w:r>
  </w:p>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4FF"/>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2A27"/>
    <w:rsid w:val="00177230"/>
    <w:rsid w:val="00180105"/>
    <w:rsid w:val="0018451E"/>
    <w:rsid w:val="00186851"/>
    <w:rsid w:val="0018696D"/>
    <w:rsid w:val="00186DAC"/>
    <w:rsid w:val="00191C8F"/>
    <w:rsid w:val="00193483"/>
    <w:rsid w:val="0019620F"/>
    <w:rsid w:val="001B37BE"/>
    <w:rsid w:val="001B4A45"/>
    <w:rsid w:val="001B606C"/>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2F2C9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2EF5"/>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D5DDB"/>
    <w:rsid w:val="00EE1E4E"/>
    <w:rsid w:val="00EE73D4"/>
    <w:rsid w:val="00EF04D0"/>
    <w:rsid w:val="00EF1BD9"/>
    <w:rsid w:val="00EF4B98"/>
    <w:rsid w:val="00F02DC6"/>
    <w:rsid w:val="00F07AA5"/>
    <w:rsid w:val="00F07F8F"/>
    <w:rsid w:val="00F11C0E"/>
    <w:rsid w:val="00F16635"/>
    <w:rsid w:val="00F17BBD"/>
    <w:rsid w:val="00F2177F"/>
    <w:rsid w:val="00F25E2D"/>
    <w:rsid w:val="00F3746A"/>
    <w:rsid w:val="00F378FF"/>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AC406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22229E"/>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A87085"/>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090E01"/>
    <w:rsid w:val="241035B6"/>
    <w:rsid w:val="24173588"/>
    <w:rsid w:val="248400FD"/>
    <w:rsid w:val="24BB5C18"/>
    <w:rsid w:val="24D52712"/>
    <w:rsid w:val="24F744DF"/>
    <w:rsid w:val="250255F5"/>
    <w:rsid w:val="2504136D"/>
    <w:rsid w:val="2521146B"/>
    <w:rsid w:val="25216B98"/>
    <w:rsid w:val="2522492D"/>
    <w:rsid w:val="25347FF8"/>
    <w:rsid w:val="255B3E43"/>
    <w:rsid w:val="25627E42"/>
    <w:rsid w:val="25AE3087"/>
    <w:rsid w:val="25B20DC9"/>
    <w:rsid w:val="25DE2FF9"/>
    <w:rsid w:val="25EE5B79"/>
    <w:rsid w:val="25F90E12"/>
    <w:rsid w:val="260B672B"/>
    <w:rsid w:val="2628108B"/>
    <w:rsid w:val="2652435A"/>
    <w:rsid w:val="26A56376"/>
    <w:rsid w:val="26AD6772"/>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05DAB"/>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823E37"/>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097C5B"/>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140EA"/>
    <w:rsid w:val="3FDD6F27"/>
    <w:rsid w:val="3FEA0D08"/>
    <w:rsid w:val="402406BD"/>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646376"/>
    <w:rsid w:val="47CB42B8"/>
    <w:rsid w:val="47F210A1"/>
    <w:rsid w:val="47F41D83"/>
    <w:rsid w:val="48226D7F"/>
    <w:rsid w:val="482C45B3"/>
    <w:rsid w:val="483E7E42"/>
    <w:rsid w:val="48894852"/>
    <w:rsid w:val="48977AA3"/>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96BDF"/>
    <w:rsid w:val="566B0279"/>
    <w:rsid w:val="568775D5"/>
    <w:rsid w:val="568E4899"/>
    <w:rsid w:val="574C75CB"/>
    <w:rsid w:val="575651A9"/>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7693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AD3A56"/>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32D91"/>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4F93B2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widowControl/>
      <w:adjustRightInd/>
      <w:spacing w:before="100" w:beforeAutospacing="1" w:after="100" w:afterAutospacing="1" w:line="240" w:lineRule="auto"/>
      <w:jc w:val="left"/>
      <w:outlineLvl w:val="0"/>
    </w:pPr>
    <w:rPr>
      <w:rFonts w:ascii="宋体" w:hAnsi="宋体" w:eastAsia="宋体" w:cs="宋体"/>
      <w:b/>
      <w:bCs/>
      <w:kern w:val="36"/>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unhideWhenUsed/>
    <w:qFormat/>
    <w:uiPriority w:val="99"/>
  </w:style>
  <w:style w:type="paragraph" w:styleId="4">
    <w:name w:val="Body Text Indent"/>
    <w:basedOn w:val="1"/>
    <w:qFormat/>
    <w:uiPriority w:val="0"/>
    <w:pPr>
      <w:spacing w:after="120"/>
      <w:ind w:left="420" w:leftChars="200"/>
    </w:pPr>
  </w:style>
  <w:style w:type="paragraph" w:styleId="5">
    <w:name w:val="Balloon Text"/>
    <w:basedOn w:val="1"/>
    <w:link w:val="12"/>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First Indent"/>
    <w:basedOn w:val="3"/>
    <w:unhideWhenUsed/>
    <w:qFormat/>
    <w:uiPriority w:val="99"/>
    <w:pPr>
      <w:ind w:firstLine="420" w:firstLineChars="100"/>
    </w:pPr>
  </w:style>
  <w:style w:type="character" w:styleId="11">
    <w:name w:val="page number"/>
    <w:basedOn w:val="10"/>
    <w:qFormat/>
    <w:uiPriority w:val="0"/>
  </w:style>
  <w:style w:type="character" w:customStyle="1" w:styleId="12">
    <w:name w:val="批注框文本 Char"/>
    <w:link w:val="5"/>
    <w:semiHidden/>
    <w:qFormat/>
    <w:uiPriority w:val="99"/>
    <w:rPr>
      <w:rFonts w:ascii="Times New Roman" w:hAnsi="Times New Roman"/>
      <w:kern w:val="2"/>
      <w:sz w:val="18"/>
      <w:szCs w:val="18"/>
    </w:rPr>
  </w:style>
  <w:style w:type="character" w:customStyle="1" w:styleId="13">
    <w:name w:val="页脚 Char"/>
    <w:link w:val="6"/>
    <w:qFormat/>
    <w:uiPriority w:val="99"/>
    <w:rPr>
      <w:rFonts w:ascii="Times New Roman" w:hAnsi="Times New Roman"/>
      <w:kern w:val="2"/>
      <w:sz w:val="18"/>
      <w:szCs w:val="18"/>
    </w:rPr>
  </w:style>
  <w:style w:type="character" w:customStyle="1" w:styleId="14">
    <w:name w:val="页眉 Char"/>
    <w:link w:val="7"/>
    <w:qFormat/>
    <w:uiPriority w:val="99"/>
    <w:rPr>
      <w:rFonts w:ascii="Times New Roman" w:hAnsi="Times New Roman"/>
      <w:kern w:val="2"/>
      <w:sz w:val="18"/>
      <w:szCs w:val="18"/>
    </w:rPr>
  </w:style>
  <w:style w:type="paragraph" w:styleId="15">
    <w:name w:val="List Paragraph"/>
    <w:basedOn w:val="1"/>
    <w:qFormat/>
    <w:uiPriority w:val="34"/>
    <w:pPr>
      <w:ind w:firstLine="420" w:firstLineChars="200"/>
    </w:pPr>
  </w:style>
  <w:style w:type="paragraph" w:styleId="16">
    <w:name w:val="No Spacing"/>
    <w:link w:val="17"/>
    <w:qFormat/>
    <w:uiPriority w:val="0"/>
    <w:rPr>
      <w:rFonts w:ascii="Calibri" w:hAnsi="Calibri" w:eastAsia="宋体" w:cs="Times New Roman"/>
      <w:sz w:val="22"/>
      <w:szCs w:val="22"/>
      <w:lang w:val="en-US" w:eastAsia="zh-CN" w:bidi="ar-SA"/>
    </w:rPr>
  </w:style>
  <w:style w:type="character" w:customStyle="1" w:styleId="17">
    <w:name w:val="无间隔 Char"/>
    <w:link w:val="16"/>
    <w:qFormat/>
    <w:uiPriority w:val="0"/>
    <w:rPr>
      <w:sz w:val="22"/>
      <w:szCs w:val="22"/>
      <w:lang w:bidi="ar-SA"/>
    </w:rPr>
  </w:style>
  <w:style w:type="paragraph" w:customStyle="1" w:styleId="18">
    <w:name w:val="正文1"/>
    <w:basedOn w:val="1"/>
    <w:qFormat/>
    <w:uiPriority w:val="0"/>
    <w:pPr>
      <w:widowControl/>
    </w:pPr>
    <w:rPr>
      <w:rFonts w:eastAsia="Times New Roman"/>
      <w:kern w:val="0"/>
      <w:lang w:val="zh-CN"/>
    </w:rPr>
  </w:style>
  <w:style w:type="character" w:customStyle="1" w:styleId="19">
    <w:name w:val="font71"/>
    <w:basedOn w:val="1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27</Pages>
  <Words>8134</Words>
  <Characters>9801</Characters>
  <Lines>28</Lines>
  <Paragraphs>23</Paragraphs>
  <TotalTime>0</TotalTime>
  <ScaleCrop>false</ScaleCrop>
  <LinksUpToDate>false</LinksUpToDate>
  <CharactersWithSpaces>9917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2023-06-06T01:51:00Z</dcterms:created>
  <dc:creator>王炜(部门内部人)</dc:creator>
  <cp:lastModifiedBy>大琹</cp:lastModifiedBy>
  <cp:lastPrinted>2021-01-31T19:43:00Z</cp:lastPrinted>
  <dcterms:modified xsi:type="dcterms:W3CDTF">2023-06-08T07:46:40Z</dcterms:modified>
  <dc:title>×××部门</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72591BB0200B4D3AA28706A724840C15_13</vt:lpwstr>
  </property>
</Properties>
</file>