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湟源县图书馆</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t>承担图书资料的保存、借阅和研究工作；承担数字化图书系统管理、运行和维护；依托馆藏资源开展社会教育工作。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图书馆内设有综合阅览室、借书室、电子阅览室、地方文献室、采编室5个功能室，供读者阅览席位70个。</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lang w:val="en-US" w:eastAsia="zh-CN"/>
        </w:rPr>
        <w:t>纳入湟源县图书馆2023年部门预算编制范围的二级预算单位包括：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181.84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107.26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44.21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18.84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181.84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181.84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181.84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181.84</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69" w:type="dxa"/>
        <w:jc w:val="center"/>
        <w:tblLayout w:type="fixed"/>
        <w:tblCellMar>
          <w:top w:w="0" w:type="dxa"/>
          <w:left w:w="108" w:type="dxa"/>
          <w:bottom w:w="0" w:type="dxa"/>
          <w:right w:w="108" w:type="dxa"/>
        </w:tblCellMar>
      </w:tblPr>
      <w:tblGrid>
        <w:gridCol w:w="1088"/>
        <w:gridCol w:w="1062"/>
        <w:gridCol w:w="922"/>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69"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69"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69"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181.84</w:t>
            </w:r>
          </w:p>
        </w:tc>
        <w:tc>
          <w:tcPr>
            <w:tcW w:w="9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181.84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湟源县文体旅游局</w:t>
            </w:r>
          </w:p>
        </w:tc>
        <w:tc>
          <w:tcPr>
            <w:tcW w:w="10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181.84</w:t>
            </w:r>
          </w:p>
        </w:tc>
        <w:tc>
          <w:tcPr>
            <w:tcW w:w="9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181.84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湟源县图书馆</w:t>
            </w:r>
          </w:p>
        </w:tc>
        <w:tc>
          <w:tcPr>
            <w:tcW w:w="106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181.84</w:t>
            </w:r>
          </w:p>
        </w:tc>
        <w:tc>
          <w:tcPr>
            <w:tcW w:w="9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181.84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68" w:type="dxa"/>
        <w:jc w:val="center"/>
        <w:tblLayout w:type="fixed"/>
        <w:tblCellMar>
          <w:top w:w="0" w:type="dxa"/>
          <w:left w:w="108" w:type="dxa"/>
          <w:bottom w:w="0" w:type="dxa"/>
          <w:right w:w="108" w:type="dxa"/>
        </w:tblCellMar>
      </w:tblPr>
      <w:tblGrid>
        <w:gridCol w:w="1100"/>
        <w:gridCol w:w="3768"/>
        <w:gridCol w:w="1100"/>
        <w:gridCol w:w="1100"/>
        <w:gridCol w:w="1100"/>
        <w:gridCol w:w="1100"/>
        <w:gridCol w:w="1100"/>
        <w:gridCol w:w="1100"/>
      </w:tblGrid>
      <w:tr>
        <w:tblPrEx>
          <w:tblCellMar>
            <w:top w:w="0" w:type="dxa"/>
            <w:left w:w="108" w:type="dxa"/>
            <w:bottom w:w="0" w:type="dxa"/>
            <w:right w:w="108" w:type="dxa"/>
          </w:tblCellMar>
        </w:tblPrEx>
        <w:trPr>
          <w:trHeight w:val="187" w:hRule="atLeast"/>
          <w:jc w:val="center"/>
        </w:trPr>
        <w:tc>
          <w:tcPr>
            <w:tcW w:w="1146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6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68"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6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181.84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177.84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文化旅游体育与传媒支出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文化和旅游</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107.26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2070104</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图书馆</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103.26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2070199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其他文化和旅游支出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44.21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44.21</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43.57</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12.30</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6.15</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6.15</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25.12</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0.64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18.84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13.16</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5.68</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11.54</w:t>
            </w: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1084"/>
        <w:gridCol w:w="1751"/>
        <w:gridCol w:w="1356"/>
        <w:gridCol w:w="130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7"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727"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7"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7"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5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6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181.84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181.84</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181.84</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181.84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107.26</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107.26</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44.21</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44.21</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18.84</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18.84</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11.54</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11.54</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73"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181.84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181.84</w:t>
            </w:r>
          </w:p>
        </w:tc>
        <w:tc>
          <w:tcPr>
            <w:tcW w:w="13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181.84</w:t>
            </w:r>
          </w:p>
        </w:tc>
        <w:tc>
          <w:tcPr>
            <w:tcW w:w="1263"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32"/>
        <w:gridCol w:w="1442"/>
        <w:gridCol w:w="1442"/>
        <w:gridCol w:w="144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8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2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3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8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181.84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177.84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207</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文化旅游体育与传媒支出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107.26</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103.26</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文化和旅游</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107.26</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103.26</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图书馆</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103.26</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103.26</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其他文化和旅游支出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4.00</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44.21</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44.21</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43.57</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43.57</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12.30</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12.30</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6.15</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6.15</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25.12</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25.12</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0.64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18.84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18.84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13.16</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13.16</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5.68</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5.68</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3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11.54</w:t>
            </w:r>
          </w:p>
        </w:tc>
        <w:tc>
          <w:tcPr>
            <w:tcW w:w="144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11.54</w:t>
            </w:r>
          </w:p>
        </w:tc>
        <w:tc>
          <w:tcPr>
            <w:tcW w:w="144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906"/>
        <w:gridCol w:w="2346"/>
        <w:gridCol w:w="2346"/>
        <w:gridCol w:w="234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4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06"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177.84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173.85</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140.20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140.20</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28.05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28.05</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28.20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28.20</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43.02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43.02</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12.30</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6.15</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4.62</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5.68</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5.68</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11.54</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3.99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0.14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0.61</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33.65</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33.65</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25.12</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25.12</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0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w:t>
            </w:r>
          </w:p>
        </w:tc>
        <w:tc>
          <w:tcPr>
            <w:tcW w:w="2346"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8.54</w:t>
            </w:r>
          </w:p>
        </w:tc>
        <w:tc>
          <w:tcPr>
            <w:tcW w:w="234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0.12</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0.14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0.14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湟源县图书馆2023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湟源县图书馆</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一般公共预算拨款收入181.84万元</w:t>
      </w:r>
      <w:r>
        <w:rPr>
          <w:rFonts w:hint="eastAsia" w:ascii="仿宋_GB2312" w:eastAsia="仿宋_GB2312"/>
          <w:sz w:val="32"/>
          <w:szCs w:val="32"/>
        </w:rPr>
        <w:t>；支出包括：</w:t>
      </w:r>
      <w:r>
        <w:rPr>
          <w:rFonts w:hint="eastAsia" w:ascii="仿宋_GB2312" w:eastAsia="仿宋_GB2312"/>
          <w:sz w:val="32"/>
          <w:szCs w:val="32"/>
          <w:lang w:val="en-US" w:eastAsia="zh-CN"/>
        </w:rPr>
        <w:t>文化旅游体育与传媒支出107.26万元，社会保障和就业支出44.21万元，卫生健康支出18.84万元，住房保障支出11.54万元</w:t>
      </w:r>
      <w:r>
        <w:rPr>
          <w:rFonts w:hint="eastAsia" w:ascii="仿宋_GB2312" w:eastAsia="仿宋_GB2312"/>
          <w:sz w:val="32"/>
          <w:szCs w:val="32"/>
        </w:rPr>
        <w:t>。</w:t>
      </w:r>
      <w:r>
        <w:rPr>
          <w:rFonts w:hint="eastAsia" w:ascii="仿宋_GB2312" w:eastAsia="仿宋_GB2312"/>
          <w:sz w:val="32"/>
          <w:szCs w:val="32"/>
          <w:lang w:val="en-US" w:eastAsia="zh-CN"/>
        </w:rPr>
        <w:t>湟源县图书馆2023</w:t>
      </w:r>
      <w:r>
        <w:rPr>
          <w:rFonts w:hint="eastAsia" w:ascii="仿宋_GB2312" w:eastAsia="仿宋_GB2312"/>
          <w:sz w:val="32"/>
          <w:szCs w:val="32"/>
        </w:rPr>
        <w:t>年收支总预算</w:t>
      </w:r>
      <w:r>
        <w:rPr>
          <w:rFonts w:hint="eastAsia" w:ascii="仿宋_GB2312" w:eastAsia="仿宋_GB2312"/>
          <w:sz w:val="32"/>
          <w:szCs w:val="32"/>
          <w:lang w:val="en-US" w:eastAsia="zh-CN"/>
        </w:rPr>
        <w:t>181.84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湟源县图书馆2023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湟源县图书馆2023</w:t>
      </w:r>
      <w:r>
        <w:rPr>
          <w:rFonts w:hint="eastAsia" w:ascii="仿宋_GB2312" w:eastAsia="仿宋_GB2312"/>
          <w:sz w:val="32"/>
          <w:szCs w:val="32"/>
        </w:rPr>
        <w:t>年收入预算</w:t>
      </w:r>
      <w:r>
        <w:rPr>
          <w:rFonts w:hint="eastAsia" w:ascii="仿宋_GB2312" w:eastAsia="仿宋_GB2312"/>
          <w:sz w:val="32"/>
          <w:szCs w:val="32"/>
          <w:lang w:val="en-US" w:eastAsia="zh-CN"/>
        </w:rPr>
        <w:t>181.84</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一般公共预算拨款收入181.84万元，占100.00%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59.95pt;width:347.7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湟源县图书馆2023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湟源县图书馆2023</w:t>
      </w:r>
      <w:r>
        <w:rPr>
          <w:rFonts w:hint="eastAsia" w:ascii="仿宋_GB2312" w:eastAsia="仿宋_GB2312"/>
          <w:sz w:val="32"/>
          <w:szCs w:val="32"/>
        </w:rPr>
        <w:t>年支出预算</w:t>
      </w:r>
      <w:r>
        <w:rPr>
          <w:rFonts w:hint="eastAsia" w:ascii="仿宋_GB2312" w:eastAsia="仿宋_GB2312"/>
          <w:sz w:val="32"/>
          <w:szCs w:val="32"/>
          <w:lang w:val="en-US" w:eastAsia="zh-CN"/>
        </w:rPr>
        <w:t>181.84</w:t>
      </w:r>
      <w:r>
        <w:rPr>
          <w:rFonts w:hint="eastAsia" w:ascii="仿宋_GB2312" w:eastAsia="仿宋_GB2312"/>
          <w:sz w:val="32"/>
          <w:szCs w:val="32"/>
        </w:rPr>
        <w:t>万元，其中：</w:t>
      </w:r>
      <w:r>
        <w:rPr>
          <w:rFonts w:hint="eastAsia" w:ascii="仿宋_GB2312" w:eastAsia="仿宋_GB2312"/>
          <w:sz w:val="32"/>
          <w:szCs w:val="32"/>
          <w:lang w:val="en-US" w:eastAsia="zh-CN"/>
        </w:rPr>
        <w:t>基本支出177.84万元，占97.80%；项目支出4.00万元，占2.20%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3.3pt;width:354.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湟源县图书馆2023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湟源县图书馆2023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181.84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增加31.93</w:t>
      </w:r>
      <w:r>
        <w:rPr>
          <w:rFonts w:hint="eastAsia" w:ascii="仿宋_GB2312" w:eastAsia="仿宋_GB2312"/>
          <w:sz w:val="32"/>
          <w:szCs w:val="32"/>
        </w:rPr>
        <w:t>万元，主要是</w:t>
      </w:r>
      <w:r>
        <w:rPr>
          <w:rFonts w:hint="eastAsia" w:ascii="仿宋_GB2312" w:eastAsia="仿宋_GB2312"/>
          <w:sz w:val="32"/>
          <w:szCs w:val="32"/>
          <w:lang w:val="en-US" w:eastAsia="zh-CN"/>
        </w:rPr>
        <w:t>人员调入</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一般公共预算拨款收入181.84万元，上年结转0.00万元；政府性基金预算拨款收入0.00万元，上年结转0.00万元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文化旅游体育与传媒支出107.26万元， 社会保障和就业支出44.21万元， 卫生健康支出18.84万元， 住房保障支出11.54万元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2.45pt;width:353.1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湟源县图书馆2023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湟源县图书馆2023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181.84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增加31.93</w:t>
      </w:r>
      <w:r>
        <w:rPr>
          <w:rFonts w:hint="eastAsia" w:ascii="仿宋_GB2312" w:eastAsia="仿宋_GB2312"/>
          <w:sz w:val="32"/>
          <w:szCs w:val="32"/>
        </w:rPr>
        <w:t>万元，主要是</w:t>
      </w:r>
      <w:r>
        <w:rPr>
          <w:rFonts w:hint="eastAsia" w:ascii="仿宋_GB2312" w:eastAsia="仿宋_GB2312"/>
          <w:sz w:val="32"/>
          <w:szCs w:val="32"/>
          <w:lang w:val="en-US" w:eastAsia="zh-CN"/>
        </w:rPr>
        <w:t>人员调入</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1.05pt;width:353.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文化旅游体育与传媒支出107.26万元，占58.99%；社会保障和就业支出44.21万元，占24.31%；卫生健康支出18.84万元，占10.36%；住房保障支出11.54万元，占6.35%</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3.05pt;width:354.4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文化和旅游</w:t>
      </w:r>
      <w:r>
        <w:rPr>
          <w:rFonts w:hint="eastAsia" w:ascii="仿宋_GB2312" w:eastAsia="仿宋_GB2312"/>
          <w:sz w:val="32"/>
          <w:szCs w:val="32"/>
        </w:rPr>
        <w:t>（款）</w:t>
      </w:r>
      <w:r>
        <w:rPr>
          <w:rFonts w:hint="eastAsia" w:ascii="仿宋_GB2312" w:eastAsia="仿宋_GB2312"/>
          <w:sz w:val="32"/>
          <w:szCs w:val="32"/>
          <w:lang w:val="en-US" w:eastAsia="zh-CN"/>
        </w:rPr>
        <w:t>图书馆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103.26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增加14.09</w:t>
      </w:r>
      <w:r>
        <w:rPr>
          <w:rFonts w:hint="eastAsia" w:ascii="仿宋_GB2312" w:eastAsia="仿宋_GB2312"/>
          <w:sz w:val="32"/>
          <w:szCs w:val="32"/>
        </w:rPr>
        <w:t>万元，</w:t>
      </w:r>
      <w:r>
        <w:rPr>
          <w:rFonts w:hint="eastAsia" w:ascii="仿宋_GB2312" w:eastAsia="仿宋_GB2312"/>
          <w:sz w:val="32"/>
          <w:szCs w:val="32"/>
          <w:lang w:val="en-US" w:eastAsia="zh-CN"/>
        </w:rPr>
        <w:t>增长15.80</w:t>
      </w:r>
      <w:r>
        <w:rPr>
          <w:rFonts w:hint="eastAsia" w:ascii="仿宋_GB2312" w:eastAsia="仿宋_GB2312"/>
          <w:sz w:val="32"/>
          <w:szCs w:val="32"/>
        </w:rPr>
        <w:t>%。主要是</w:t>
      </w:r>
      <w:r>
        <w:rPr>
          <w:rFonts w:hint="eastAsia" w:ascii="仿宋_GB2312" w:eastAsia="仿宋_GB2312"/>
          <w:sz w:val="32"/>
          <w:szCs w:val="32"/>
          <w:lang w:val="en-US" w:eastAsia="zh-CN"/>
        </w:rPr>
        <w:t>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文化旅游体育与传媒支出</w:t>
      </w:r>
      <w:r>
        <w:rPr>
          <w:rFonts w:hint="eastAsia" w:ascii="仿宋_GB2312" w:eastAsia="仿宋_GB2312"/>
          <w:sz w:val="32"/>
          <w:szCs w:val="32"/>
        </w:rPr>
        <w:t>（类）</w:t>
      </w:r>
      <w:r>
        <w:rPr>
          <w:rFonts w:hint="eastAsia" w:ascii="仿宋_GB2312" w:eastAsia="仿宋_GB2312"/>
          <w:sz w:val="32"/>
          <w:szCs w:val="32"/>
          <w:lang w:val="en-US" w:eastAsia="zh-CN"/>
        </w:rPr>
        <w:t>文化和旅游</w:t>
      </w:r>
      <w:r>
        <w:rPr>
          <w:rFonts w:hint="eastAsia" w:ascii="仿宋_GB2312" w:eastAsia="仿宋_GB2312"/>
          <w:sz w:val="32"/>
          <w:szCs w:val="32"/>
        </w:rPr>
        <w:t>（款）</w:t>
      </w:r>
      <w:r>
        <w:rPr>
          <w:rFonts w:hint="eastAsia" w:ascii="仿宋_GB2312" w:eastAsia="仿宋_GB2312"/>
          <w:sz w:val="32"/>
          <w:szCs w:val="32"/>
          <w:lang w:val="en-US" w:eastAsia="zh-CN"/>
        </w:rPr>
        <w:t>其他文化和旅游支出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val="en-US" w:eastAsia="zh-CN"/>
        </w:rPr>
        <w:t>新增项目。</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12.30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增加3.96</w:t>
      </w:r>
      <w:r>
        <w:rPr>
          <w:rFonts w:hint="eastAsia" w:ascii="仿宋_GB2312" w:eastAsia="仿宋_GB2312"/>
          <w:sz w:val="32"/>
          <w:szCs w:val="32"/>
        </w:rPr>
        <w:t>万元，</w:t>
      </w:r>
      <w:r>
        <w:rPr>
          <w:rFonts w:hint="eastAsia" w:ascii="仿宋_GB2312" w:eastAsia="仿宋_GB2312"/>
          <w:sz w:val="32"/>
          <w:szCs w:val="32"/>
          <w:lang w:val="en-US" w:eastAsia="zh-CN"/>
        </w:rPr>
        <w:t>增长47.48</w:t>
      </w:r>
      <w:r>
        <w:rPr>
          <w:rFonts w:hint="eastAsia" w:ascii="仿宋_GB2312" w:eastAsia="仿宋_GB2312"/>
          <w:sz w:val="32"/>
          <w:szCs w:val="32"/>
        </w:rPr>
        <w:t>%。主要是</w:t>
      </w:r>
      <w:r>
        <w:rPr>
          <w:rFonts w:hint="eastAsia" w:ascii="仿宋_GB2312" w:eastAsia="仿宋_GB2312"/>
          <w:sz w:val="32"/>
          <w:szCs w:val="32"/>
          <w:lang w:val="en-US" w:eastAsia="zh-CN"/>
        </w:rPr>
        <w:t>人员增加和基数调整。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增加1.98</w:t>
      </w:r>
      <w:r>
        <w:rPr>
          <w:rFonts w:hint="eastAsia" w:ascii="仿宋_GB2312" w:eastAsia="仿宋_GB2312"/>
          <w:sz w:val="32"/>
          <w:szCs w:val="32"/>
        </w:rPr>
        <w:t>万元，</w:t>
      </w:r>
      <w:r>
        <w:rPr>
          <w:rFonts w:hint="eastAsia" w:ascii="仿宋_GB2312" w:eastAsia="仿宋_GB2312"/>
          <w:sz w:val="32"/>
          <w:szCs w:val="32"/>
          <w:lang w:val="en-US" w:eastAsia="zh-CN"/>
        </w:rPr>
        <w:t>增长47.48</w:t>
      </w:r>
      <w:r>
        <w:rPr>
          <w:rFonts w:hint="eastAsia" w:ascii="仿宋_GB2312" w:eastAsia="仿宋_GB2312"/>
          <w:sz w:val="32"/>
          <w:szCs w:val="32"/>
        </w:rPr>
        <w:t>%。主要是</w:t>
      </w:r>
      <w:r>
        <w:rPr>
          <w:rFonts w:hint="eastAsia" w:ascii="仿宋_GB2312" w:eastAsia="仿宋_GB2312"/>
          <w:sz w:val="32"/>
          <w:szCs w:val="32"/>
          <w:lang w:val="en-US" w:eastAsia="zh-CN"/>
        </w:rPr>
        <w:t>人员增加和基数调整。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25.12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增加1.96</w:t>
      </w:r>
      <w:r>
        <w:rPr>
          <w:rFonts w:hint="eastAsia" w:ascii="仿宋_GB2312" w:eastAsia="仿宋_GB2312"/>
          <w:sz w:val="32"/>
          <w:szCs w:val="32"/>
        </w:rPr>
        <w:t>万元，</w:t>
      </w:r>
      <w:r>
        <w:rPr>
          <w:rFonts w:hint="eastAsia" w:ascii="仿宋_GB2312" w:eastAsia="仿宋_GB2312"/>
          <w:sz w:val="32"/>
          <w:szCs w:val="32"/>
          <w:lang w:val="en-US" w:eastAsia="zh-CN"/>
        </w:rPr>
        <w:t>增长8.46</w:t>
      </w:r>
      <w:r>
        <w:rPr>
          <w:rFonts w:hint="eastAsia" w:ascii="仿宋_GB2312" w:eastAsia="仿宋_GB2312"/>
          <w:sz w:val="32"/>
          <w:szCs w:val="32"/>
        </w:rPr>
        <w:t>%。主要是</w:t>
      </w:r>
      <w:r>
        <w:rPr>
          <w:rFonts w:hint="eastAsia" w:ascii="仿宋_GB2312" w:eastAsia="仿宋_GB2312"/>
          <w:sz w:val="32"/>
          <w:szCs w:val="32"/>
          <w:lang w:val="en-US" w:eastAsia="zh-CN"/>
        </w:rPr>
        <w:t>人员增加和基数调整。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0.64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增加0.07</w:t>
      </w:r>
      <w:r>
        <w:rPr>
          <w:rFonts w:hint="eastAsia" w:ascii="仿宋_GB2312" w:eastAsia="仿宋_GB2312"/>
          <w:sz w:val="32"/>
          <w:szCs w:val="32"/>
        </w:rPr>
        <w:t>万元，</w:t>
      </w:r>
      <w:r>
        <w:rPr>
          <w:rFonts w:hint="eastAsia" w:ascii="仿宋_GB2312" w:eastAsia="仿宋_GB2312"/>
          <w:sz w:val="32"/>
          <w:szCs w:val="32"/>
          <w:lang w:val="en-US" w:eastAsia="zh-CN"/>
        </w:rPr>
        <w:t>增长12.28</w:t>
      </w:r>
      <w:r>
        <w:rPr>
          <w:rFonts w:hint="eastAsia" w:ascii="仿宋_GB2312" w:eastAsia="仿宋_GB2312"/>
          <w:sz w:val="32"/>
          <w:szCs w:val="32"/>
        </w:rPr>
        <w:t>%。主要是</w:t>
      </w:r>
      <w:r>
        <w:rPr>
          <w:rFonts w:hint="eastAsia" w:ascii="仿宋_GB2312" w:eastAsia="仿宋_GB2312"/>
          <w:sz w:val="32"/>
          <w:szCs w:val="32"/>
          <w:lang w:val="en-US" w:eastAsia="zh-CN"/>
        </w:rPr>
        <w:t>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增加1.40</w:t>
      </w:r>
      <w:r>
        <w:rPr>
          <w:rFonts w:hint="eastAsia" w:ascii="仿宋_GB2312" w:eastAsia="仿宋_GB2312"/>
          <w:sz w:val="32"/>
          <w:szCs w:val="32"/>
        </w:rPr>
        <w:t>万元，</w:t>
      </w:r>
      <w:r>
        <w:rPr>
          <w:rFonts w:hint="eastAsia" w:ascii="仿宋_GB2312" w:eastAsia="仿宋_GB2312"/>
          <w:sz w:val="32"/>
          <w:szCs w:val="32"/>
          <w:lang w:val="en-US" w:eastAsia="zh-CN"/>
        </w:rPr>
        <w:t>增长11.90</w:t>
      </w:r>
      <w:r>
        <w:rPr>
          <w:rFonts w:hint="eastAsia" w:ascii="仿宋_GB2312" w:eastAsia="仿宋_GB2312"/>
          <w:sz w:val="32"/>
          <w:szCs w:val="32"/>
        </w:rPr>
        <w:t>%。主要是</w:t>
      </w:r>
      <w:r>
        <w:rPr>
          <w:rFonts w:hint="eastAsia" w:ascii="仿宋_GB2312" w:eastAsia="仿宋_GB2312"/>
          <w:sz w:val="32"/>
          <w:szCs w:val="32"/>
          <w:lang w:val="en-US" w:eastAsia="zh-CN"/>
        </w:rPr>
        <w:t>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增加0.59</w:t>
      </w:r>
      <w:r>
        <w:rPr>
          <w:rFonts w:hint="eastAsia" w:ascii="仿宋_GB2312" w:eastAsia="仿宋_GB2312"/>
          <w:sz w:val="32"/>
          <w:szCs w:val="32"/>
        </w:rPr>
        <w:t>万元，</w:t>
      </w:r>
      <w:r>
        <w:rPr>
          <w:rFonts w:hint="eastAsia" w:ascii="仿宋_GB2312" w:eastAsia="仿宋_GB2312"/>
          <w:sz w:val="32"/>
          <w:szCs w:val="32"/>
          <w:lang w:val="en-US" w:eastAsia="zh-CN"/>
        </w:rPr>
        <w:t>增长11.59</w:t>
      </w:r>
      <w:r>
        <w:rPr>
          <w:rFonts w:hint="eastAsia" w:ascii="仿宋_GB2312" w:eastAsia="仿宋_GB2312"/>
          <w:sz w:val="32"/>
          <w:szCs w:val="32"/>
        </w:rPr>
        <w:t>%。主要是</w:t>
      </w:r>
      <w:r>
        <w:rPr>
          <w:rFonts w:hint="eastAsia" w:ascii="仿宋_GB2312" w:eastAsia="仿宋_GB2312"/>
          <w:sz w:val="32"/>
          <w:szCs w:val="32"/>
          <w:lang w:val="en-US" w:eastAsia="zh-CN"/>
        </w:rPr>
        <w:t>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增加3.90</w:t>
      </w:r>
      <w:r>
        <w:rPr>
          <w:rFonts w:hint="eastAsia" w:ascii="仿宋_GB2312" w:eastAsia="仿宋_GB2312"/>
          <w:sz w:val="32"/>
          <w:szCs w:val="32"/>
        </w:rPr>
        <w:t>万元，</w:t>
      </w:r>
      <w:r>
        <w:rPr>
          <w:rFonts w:hint="eastAsia" w:ascii="仿宋_GB2312" w:eastAsia="仿宋_GB2312"/>
          <w:sz w:val="32"/>
          <w:szCs w:val="32"/>
          <w:lang w:val="en-US" w:eastAsia="zh-CN"/>
        </w:rPr>
        <w:t>增长51.05</w:t>
      </w:r>
      <w:r>
        <w:rPr>
          <w:rFonts w:hint="eastAsia" w:ascii="仿宋_GB2312" w:eastAsia="仿宋_GB2312"/>
          <w:sz w:val="32"/>
          <w:szCs w:val="32"/>
        </w:rPr>
        <w:t>%。主要是</w:t>
      </w:r>
      <w:r>
        <w:rPr>
          <w:rFonts w:hint="eastAsia" w:ascii="仿宋_GB2312" w:eastAsia="仿宋_GB2312"/>
          <w:sz w:val="32"/>
          <w:szCs w:val="32"/>
          <w:lang w:val="en-US" w:eastAsia="zh-CN"/>
        </w:rPr>
        <w:t>人员增加。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湟源县图书馆2023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湟源县图书馆2023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177.84</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173.85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28.05万元、津贴补贴28.20万元、绩效工资43.02万元、机关事业单位基本养老保险缴费12.30万元、职业年金缴费6.15万元、职工基本医疗保险缴费4.62万元、公务员医疗补助缴费5.68万元、其他社会保障缴费0.64万元、住房公积金11.54万元、退休费25.12万元、医疗费补助8.54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3.99</w:t>
      </w:r>
      <w:r>
        <w:rPr>
          <w:rFonts w:hint="eastAsia" w:ascii="仿宋_GB2312" w:eastAsia="仿宋_GB2312"/>
          <w:sz w:val="32"/>
          <w:szCs w:val="32"/>
        </w:rPr>
        <w:t>万元，主要包括：</w:t>
      </w:r>
      <w:r>
        <w:rPr>
          <w:rFonts w:hint="eastAsia" w:ascii="仿宋_GB2312" w:eastAsia="仿宋_GB2312"/>
          <w:sz w:val="32"/>
          <w:szCs w:val="32"/>
          <w:lang w:val="en-US" w:eastAsia="zh-CN"/>
        </w:rPr>
        <w:t>办公费0.21万元、水费0.14万元、电费0.14万元、邮电费0.35万元、取暖费0.70万元、差旅费0.28万元、公务接待费0.14万元、工会经费1.42万元、其他商品和服务支出0.61万元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湟源县图书馆2023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湟源县图书馆2023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0.14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0.14</w:t>
      </w:r>
      <w:r>
        <w:rPr>
          <w:rFonts w:hint="eastAsia" w:ascii="仿宋_GB2312" w:eastAsia="仿宋_GB2312"/>
          <w:sz w:val="32"/>
          <w:szCs w:val="32"/>
        </w:rPr>
        <w:t>万元，</w:t>
      </w:r>
      <w:r>
        <w:rPr>
          <w:rFonts w:hint="eastAsia" w:ascii="仿宋_GB2312" w:eastAsia="仿宋_GB2312"/>
          <w:sz w:val="32"/>
          <w:szCs w:val="32"/>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人员增加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湟源县图书馆2023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湟源县图书馆2023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湟源县图书馆</w:t>
      </w:r>
      <w:r>
        <w:rPr>
          <w:rFonts w:hint="eastAsia" w:ascii="仿宋_GB2312" w:hAnsi="仿宋" w:eastAsia="仿宋_GB2312"/>
          <w:spacing w:val="-6"/>
          <w:kern w:val="2"/>
          <w:sz w:val="32"/>
          <w:szCs w:val="32"/>
          <w:lang w:val="en-US"/>
        </w:rPr>
        <w:t>机关运行经费财政拨款预算3.99万元，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预算增加0.5万元，增长14.33%。主要是</w:t>
      </w:r>
      <w:r>
        <w:rPr>
          <w:rFonts w:hint="eastAsia" w:ascii="仿宋_GB2312" w:hAnsi="仿宋" w:eastAsia="仿宋_GB2312"/>
          <w:spacing w:val="-6"/>
          <w:kern w:val="2"/>
          <w:sz w:val="32"/>
          <w:szCs w:val="32"/>
          <w:lang w:val="en-US" w:eastAsia="zh-CN"/>
        </w:rPr>
        <w:t>人员增加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湟源县图书馆各单位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截至2023年2月底，湟源县图书馆所属各预算单位共有车辆1辆，其中，省级领导干部用车0辆、厅级领导干部用车0辆、一般公务用车0辆、一般执法执勤用车0辆、特种专业技术用车0辆、其他用车1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湟源县图书馆</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4.00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r>
        <w:rPr>
          <w:rFonts w:hint="eastAsia" w:ascii="黑体" w:hAnsi="宋体" w:eastAsia="黑体" w:cs="黑体"/>
          <w:b/>
          <w:bCs/>
          <w:i w:val="0"/>
          <w:iCs w:val="0"/>
          <w:color w:val="000000"/>
          <w:kern w:val="0"/>
          <w:sz w:val="32"/>
          <w:szCs w:val="32"/>
          <w:u w:val="none"/>
          <w:lang w:val="en-US" w:eastAsia="zh-CN" w:bidi="ar"/>
        </w:rPr>
        <w:br w:type="page"/>
      </w:r>
    </w:p>
    <w:tbl>
      <w:tblPr>
        <w:tblStyle w:val="5"/>
        <w:tblW w:w="9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6"/>
        <w:gridCol w:w="1138"/>
        <w:gridCol w:w="1500"/>
        <w:gridCol w:w="812"/>
        <w:gridCol w:w="850"/>
        <w:gridCol w:w="1638"/>
        <w:gridCol w:w="912"/>
        <w:gridCol w:w="1038"/>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93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79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3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图书馆免费开放补助</w:t>
            </w:r>
          </w:p>
        </w:tc>
        <w:tc>
          <w:tcPr>
            <w:tcW w:w="11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图书馆免费开放补助用于图书馆日常运营。</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是否按时能够完成全民阅读任务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是否有社会有益的活动</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（一）文化旅游体育与传媒支出（类）文化和旅游（款）图书馆（项）：</w:t>
      </w:r>
      <w:r>
        <w:rPr>
          <w:rFonts w:hint="eastAsia" w:ascii="仿宋_GB2312" w:hAnsi="仿宋" w:eastAsia="仿宋_GB2312"/>
          <w:bCs/>
          <w:spacing w:val="-6"/>
          <w:sz w:val="32"/>
          <w:szCs w:val="32"/>
        </w:rPr>
        <w:t>反映图书馆的支出。</w:t>
      </w:r>
    </w:p>
    <w:p>
      <w:pPr>
        <w:ind w:firstLine="619" w:firstLineChars="200"/>
        <w:rPr>
          <w:rFonts w:hint="eastAsia" w:ascii="仿宋_GB2312" w:hAnsi="仿宋" w:eastAsia="仿宋_GB2312"/>
          <w:b/>
          <w:spacing w:val="-6"/>
          <w:sz w:val="32"/>
          <w:szCs w:val="32"/>
          <w:lang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）文化旅游体育与传媒支出（类）文化和旅游（款）其他文化和旅游支出（项）</w:t>
      </w:r>
      <w:r>
        <w:rPr>
          <w:rFonts w:hint="eastAsia" w:ascii="仿宋_GB2312" w:hAnsi="仿宋" w:eastAsia="仿宋_GB2312"/>
          <w:b/>
          <w:spacing w:val="-6"/>
          <w:sz w:val="32"/>
          <w:szCs w:val="32"/>
          <w:lang w:eastAsia="zh-CN"/>
        </w:rPr>
        <w:t>：</w:t>
      </w:r>
      <w:r>
        <w:rPr>
          <w:rFonts w:hint="eastAsia" w:ascii="仿宋_GB2312" w:hAnsi="仿宋" w:eastAsia="仿宋_GB2312"/>
          <w:b w:val="0"/>
          <w:bCs/>
          <w:spacing w:val="-6"/>
          <w:sz w:val="32"/>
          <w:szCs w:val="32"/>
          <w:lang w:eastAsia="zh-CN"/>
        </w:rPr>
        <w:t>反映除上述项目以外其他用于文化和旅游方面的支出。</w:t>
      </w:r>
    </w:p>
    <w:p>
      <w:pPr>
        <w:ind w:firstLine="643" w:firstLineChars="200"/>
        <w:rPr>
          <w:rFonts w:ascii="仿宋_GB2312" w:hAnsi="仿宋" w:eastAsia="仿宋_GB2312"/>
          <w:b/>
          <w:spacing w:val="-6"/>
          <w:sz w:val="32"/>
          <w:szCs w:val="32"/>
        </w:rPr>
      </w:pPr>
      <w:r>
        <w:rPr>
          <w:rFonts w:hint="eastAsia" w:ascii="仿宋_GB2312" w:eastAsia="仿宋_GB2312"/>
          <w:b/>
          <w:bCs/>
          <w:sz w:val="32"/>
          <w:szCs w:val="32"/>
        </w:rPr>
        <w:t>（三）社会保障和就业支出（类）行政事业单位养老支出（款）机关事业单位基本养老保险缴费支出（项）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hint="eastAsia" w:ascii="仿宋_GB2312" w:eastAsia="仿宋_GB2312"/>
          <w:sz w:val="32"/>
          <w:szCs w:val="32"/>
        </w:rPr>
      </w:pPr>
      <w:r>
        <w:rPr>
          <w:rFonts w:hint="eastAsia" w:ascii="仿宋_GB2312" w:eastAsia="仿宋_GB2312"/>
          <w:b/>
          <w:bCs/>
          <w:sz w:val="32"/>
          <w:szCs w:val="32"/>
        </w:rPr>
        <w:t>（四）社会保障和就业支出（类）行政事业单位养老支出（款）机关事业单位职业年金缴费支出（项）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hint="eastAsia"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五</w:t>
      </w:r>
      <w:r>
        <w:rPr>
          <w:rFonts w:hint="eastAsia" w:ascii="仿宋_GB2312" w:eastAsia="仿宋_GB2312"/>
          <w:b/>
          <w:bCs/>
          <w:sz w:val="32"/>
          <w:szCs w:val="32"/>
        </w:rPr>
        <w:t>）社会保障和就业支出（类）行政事业单位养老支出（款）其他行政事业单位养老支出（项）：</w:t>
      </w:r>
      <w:r>
        <w:rPr>
          <w:rFonts w:hint="eastAsia" w:ascii="仿宋_GB2312" w:eastAsia="仿宋_GB2312"/>
          <w:sz w:val="32"/>
          <w:szCs w:val="32"/>
        </w:rPr>
        <w:t>指除上述项目以外其他用于行政事业单位养老方面的支出。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六</w:t>
      </w:r>
      <w:r>
        <w:rPr>
          <w:rFonts w:hint="eastAsia" w:ascii="仿宋_GB2312" w:hAnsi="仿宋" w:eastAsia="仿宋_GB2312"/>
          <w:b/>
          <w:spacing w:val="-6"/>
          <w:sz w:val="32"/>
          <w:szCs w:val="32"/>
        </w:rPr>
        <w:t>）社会保障和就业支出（类）其他社会保障和就业支出（款）其他社会保障和就业支出（项）: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七</w:t>
      </w:r>
      <w:r>
        <w:rPr>
          <w:rFonts w:hint="eastAsia" w:ascii="仿宋_GB2312" w:eastAsia="仿宋_GB2312"/>
          <w:b/>
          <w:bCs/>
          <w:sz w:val="32"/>
          <w:szCs w:val="32"/>
        </w:rPr>
        <w:t>）卫生健康支出（类）行政事业单位医疗（款）事业单位医疗（项）：</w:t>
      </w:r>
      <w:r>
        <w:rPr>
          <w:rFonts w:hint="eastAsia" w:ascii="仿宋_GB2312" w:eastAsia="仿宋_GB2312"/>
          <w:sz w:val="32"/>
          <w:szCs w:val="32"/>
        </w:rPr>
        <w:t>指财政部门安排的事业单位基本医疗保险缴费经费，未参加医疗保险的事业单位的公费医疗经费，按国家规定享受离休人员待遇的医疗经费。</w:t>
      </w:r>
    </w:p>
    <w:p>
      <w:pPr>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八</w:t>
      </w:r>
      <w:r>
        <w:rPr>
          <w:rFonts w:hint="eastAsia" w:ascii="仿宋_GB2312" w:eastAsia="仿宋_GB2312"/>
          <w:b/>
          <w:bCs/>
          <w:sz w:val="32"/>
          <w:szCs w:val="32"/>
        </w:rPr>
        <w:t>）卫生健康支出（类）行政事业单位医疗（款）公务员医疗补助（项）：</w:t>
      </w:r>
      <w:r>
        <w:rPr>
          <w:rFonts w:hint="eastAsia" w:ascii="仿宋_GB2312" w:eastAsia="仿宋_GB2312"/>
          <w:sz w:val="32"/>
          <w:szCs w:val="32"/>
        </w:rPr>
        <w:t>指财政部门安排的公务员医疗补助经费。</w:t>
      </w:r>
    </w:p>
    <w:p>
      <w:pPr>
        <w:ind w:firstLine="643" w:firstLineChars="200"/>
        <w:rPr>
          <w:rFonts w:ascii="仿宋_GB2312" w:hAnsi="仿宋" w:eastAsia="仿宋_GB2312"/>
          <w:b/>
          <w:spacing w:val="-6"/>
          <w:sz w:val="32"/>
          <w:szCs w:val="32"/>
        </w:rPr>
      </w:pPr>
      <w:r>
        <w:rPr>
          <w:rFonts w:hint="eastAsia" w:ascii="仿宋_GB2312" w:eastAsia="仿宋_GB2312"/>
          <w:b/>
          <w:bCs/>
          <w:sz w:val="32"/>
          <w:szCs w:val="32"/>
        </w:rPr>
        <w:t>（</w:t>
      </w:r>
      <w:r>
        <w:rPr>
          <w:rFonts w:hint="eastAsia" w:ascii="仿宋_GB2312" w:eastAsia="仿宋_GB2312"/>
          <w:b/>
          <w:bCs/>
          <w:sz w:val="32"/>
          <w:szCs w:val="32"/>
          <w:lang w:val="en-US" w:eastAsia="zh-CN"/>
        </w:rPr>
        <w:t>九</w:t>
      </w:r>
      <w:r>
        <w:rPr>
          <w:rFonts w:hint="eastAsia" w:ascii="仿宋_GB2312" w:eastAsia="仿宋_GB2312"/>
          <w:b/>
          <w:bCs/>
          <w:sz w:val="32"/>
          <w:szCs w:val="32"/>
        </w:rPr>
        <w:t>）住房保障支出（类）住房改革支出（款）住房公积金（项）：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ind w:firstLine="640" w:firstLineChars="200"/>
        <w:rPr>
          <w:rFonts w:hint="eastAsia" w:eastAsia="宋体"/>
          <w:lang w:val="en-US" w:eastAsia="zh-CN"/>
        </w:rPr>
      </w:pPr>
      <w:r>
        <w:rPr>
          <w:rFonts w:hint="eastAsia" w:ascii="仿宋_GB2312" w:eastAsia="仿宋_GB2312"/>
          <w:sz w:val="32"/>
          <w:szCs w:val="32"/>
          <w:lang w:val="en-US" w:eastAsia="zh-CN"/>
        </w:rPr>
        <w:t>无。</w:t>
      </w:r>
      <w:bookmarkStart w:id="6" w:name="_GoBack"/>
      <w:bookmarkEnd w:id="6"/>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DcxZWQwMDZhNTQyNWI2NDBlZjQ4NmEyMGY4YWI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26E7"/>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CA3B6F"/>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996542"/>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33327D"/>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B7FCC"/>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267DAE"/>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231787"/>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5794</Words>
  <Characters>7057</Characters>
  <Lines>43</Lines>
  <Paragraphs>12</Paragraphs>
  <TotalTime>19</TotalTime>
  <ScaleCrop>false</ScaleCrop>
  <LinksUpToDate>false</LinksUpToDate>
  <CharactersWithSpaces>7160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梓嶽子</cp:lastModifiedBy>
  <cp:lastPrinted>2021-01-31T19:43:00Z</cp:lastPrinted>
  <dcterms:modified xsi:type="dcterms:W3CDTF">2023-06-07T01:38:09Z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C004EBEDA2EC4AF3A13585FC81D22988_13</vt:lpwstr>
  </property>
</Properties>
</file>