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tcPr>
          <w:p>
            <w:pPr>
              <w:pStyle w:val="13"/>
              <w:rPr>
                <w:rFonts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vAlign w:val="center"/>
          </w:tcPr>
          <w:p>
            <w:pPr>
              <w:pStyle w:val="13"/>
              <w:jc w:val="center"/>
              <w:rPr>
                <w:rFonts w:ascii="Cambria" w:hAnsi="Cambria"/>
                <w:b/>
                <w:sz w:val="80"/>
                <w:szCs w:val="80"/>
              </w:rPr>
            </w:pPr>
            <w:r>
              <w:rPr>
                <w:rFonts w:hint="eastAsia" w:ascii="Cambria" w:hAnsi="Cambria"/>
                <w:b/>
                <w:sz w:val="80"/>
                <w:szCs w:val="80"/>
              </w:rPr>
              <w:t>湟源县野生动物保护站</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vAlign w:val="center"/>
          </w:tcPr>
          <w:p>
            <w:pPr>
              <w:pStyle w:val="13"/>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vAlign w:val="center"/>
          </w:tcPr>
          <w:p>
            <w:pPr>
              <w:pStyle w:val="13"/>
              <w:jc w:val="center"/>
            </w:pPr>
          </w:p>
        </w:tc>
      </w:tr>
    </w:tbl>
    <w:p/>
    <w:tbl>
      <w:tblPr>
        <w:tblStyle w:val="6"/>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tcPr>
          <w:p>
            <w:pPr>
              <w:pStyle w:val="13"/>
            </w:pPr>
          </w:p>
        </w:tc>
      </w:tr>
    </w:tbl>
    <w:p>
      <w:pPr>
        <w:jc w:val="center"/>
        <w:rPr>
          <w:rFonts w:ascii="华文琥珀" w:hAnsi="楷体" w:eastAsia="华文琥珀"/>
          <w:sz w:val="84"/>
          <w:szCs w:val="84"/>
        </w:rPr>
      </w:pPr>
      <w:r>
        <w:rPr>
          <w:rFonts w:hint="eastAsia" w:ascii="华文琥珀" w:hAnsi="楷体" w:eastAsia="华文琥珀"/>
          <w:sz w:val="84"/>
          <w:szCs w:val="84"/>
        </w:rPr>
        <w:t>2023</w:t>
      </w:r>
      <w:r>
        <w:rPr>
          <w:rFonts w:hint="eastAsia" w:ascii="华文琥珀" w:hAnsi="楷体" w:eastAsia="华文琥珀"/>
          <w:sz w:val="84"/>
          <w:szCs w:val="84"/>
          <w:lang w:val="zh-CN"/>
        </w:rPr>
        <w:t>年部门预算</w:t>
      </w:r>
    </w:p>
    <w:p/>
    <w:p/>
    <w:p/>
    <w:p/>
    <w:p/>
    <w:p/>
    <w:p/>
    <w:p/>
    <w:p/>
    <w:p/>
    <w:p/>
    <w:p/>
    <w:p/>
    <w:p/>
    <w:p/>
    <w:p/>
    <w:p/>
    <w:p/>
    <w:p>
      <w:pPr>
        <w:adjustRightInd w:val="0"/>
        <w:snapToGrid w:val="0"/>
        <w:spacing w:line="560" w:lineRule="exact"/>
        <w:jc w:val="center"/>
        <w:rPr>
          <w:rFonts w:ascii="仿宋" w:hAnsi="仿宋" w:eastAsia="仿宋"/>
          <w:color w:val="000000"/>
          <w:sz w:val="32"/>
          <w:szCs w:val="32"/>
        </w:rPr>
      </w:pPr>
    </w:p>
    <w:p>
      <w:pPr>
        <w:adjustRightInd w:val="0"/>
        <w:snapToGrid w:val="0"/>
        <w:spacing w:line="560" w:lineRule="exact"/>
        <w:ind w:firstLine="720" w:firstLineChars="200"/>
        <w:jc w:val="center"/>
        <w:rPr>
          <w:rFonts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ascii="小标宋" w:eastAsia="小标宋"/>
          <w:color w:val="000000"/>
          <w:sz w:val="36"/>
          <w:szCs w:val="36"/>
        </w:rPr>
      </w:pP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第一部分  部门概况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二、机构设置</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三、部门预算部门构成</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第二部分  部门预算表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rPr>
        <w:t>部门预算情况说明</w:t>
      </w:r>
    </w:p>
    <w:p>
      <w:pPr>
        <w:adjustRightInd w:val="0"/>
        <w:snapToGrid w:val="0"/>
        <w:spacing w:line="560" w:lineRule="exact"/>
        <w:ind w:firstLine="643" w:firstLineChars="200"/>
        <w:rPr>
          <w:rFonts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rPr>
          <w:rFonts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第一部分　部门概况</w:t>
      </w:r>
    </w:p>
    <w:p>
      <w:pPr>
        <w:adjustRightInd w:val="0"/>
        <w:snapToGrid w:val="0"/>
        <w:spacing w:line="560" w:lineRule="exact"/>
        <w:ind w:firstLine="600" w:firstLineChars="200"/>
        <w:rPr>
          <w:rFonts w:ascii="黑体" w:eastAsia="黑体"/>
          <w:color w:val="000000"/>
          <w:sz w:val="30"/>
          <w:szCs w:val="30"/>
        </w:rPr>
      </w:pP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（一）承担全县野生动物保护工作</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（二）承担全县野生动物疫源疫病的监测预警工作</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rPr>
      </w:pPr>
      <w:r>
        <w:rPr>
          <w:rFonts w:hint="eastAsia" w:ascii="仿宋_GB2312" w:eastAsia="仿宋_GB2312"/>
          <w:sz w:val="32"/>
          <w:szCs w:val="32"/>
        </w:rPr>
        <w:t>（三）承担全县野生动物调查和监测工作。</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二、机构设置</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湟源县野生动物保护站为独立核算预算单位，2023年编制人数3人，无下属单位</w:t>
      </w:r>
      <w:r>
        <w:rPr>
          <w:rFonts w:hint="eastAsia" w:ascii="仿宋_GB2312" w:eastAsia="仿宋_GB2312"/>
          <w:sz w:val="32"/>
          <w:szCs w:val="32"/>
          <w:lang w:eastAsia="zh-CN"/>
        </w:rPr>
        <w:t>。</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三、部门预算部门构成</w:t>
      </w:r>
    </w:p>
    <w:p>
      <w:pPr>
        <w:ind w:firstLine="640" w:firstLineChars="200"/>
        <w:rPr>
          <w:rFonts w:ascii="仿宋_GB2312" w:eastAsia="仿宋_GB2312"/>
          <w:sz w:val="32"/>
          <w:szCs w:val="32"/>
          <w:u w:val="single"/>
        </w:rPr>
      </w:pPr>
      <w:r>
        <w:rPr>
          <w:rFonts w:hint="eastAsia" w:ascii="仿宋_GB2312" w:eastAsia="仿宋_GB2312"/>
          <w:sz w:val="32"/>
          <w:szCs w:val="32"/>
        </w:rPr>
        <w:t>纳入湟源县野生动物保护站2023年部门预算编制范围的二级预算部门包括：</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40" w:type="dxa"/>
          </w:tcPr>
          <w:p>
            <w:pPr>
              <w:ind w:firstLine="160" w:firstLineChars="50"/>
              <w:rPr>
                <w:rFonts w:ascii="仿宋_GB2312" w:eastAsia="仿宋_GB2312"/>
                <w:sz w:val="32"/>
                <w:szCs w:val="32"/>
              </w:rPr>
            </w:pPr>
            <w:r>
              <w:rPr>
                <w:rFonts w:hint="eastAsia" w:ascii="仿宋_GB2312" w:eastAsia="仿宋_GB2312"/>
                <w:sz w:val="32"/>
                <w:szCs w:val="32"/>
              </w:rPr>
              <w:t>序号</w:t>
            </w:r>
          </w:p>
        </w:tc>
        <w:tc>
          <w:tcPr>
            <w:tcW w:w="6328" w:type="dxa"/>
          </w:tcPr>
          <w:p>
            <w:pPr>
              <w:jc w:val="center"/>
              <w:rPr>
                <w:rFonts w:ascii="仿宋_GB2312" w:eastAsia="仿宋_GB2312"/>
                <w:sz w:val="32"/>
                <w:szCs w:val="32"/>
              </w:rPr>
            </w:pPr>
            <w:r>
              <w:rPr>
                <w:rFonts w:hint="eastAsia" w:ascii="仿宋_GB2312" w:eastAsia="仿宋_GB2312"/>
                <w:sz w:val="32"/>
                <w:szCs w:val="32"/>
              </w:rPr>
              <w:t>部门名称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jc w:val="center"/>
              <w:rPr>
                <w:rFonts w:ascii="仿宋_GB2312" w:eastAsia="仿宋_GB2312"/>
                <w:sz w:val="32"/>
                <w:szCs w:val="32"/>
              </w:rPr>
            </w:pPr>
            <w:r>
              <w:rPr>
                <w:rFonts w:hint="eastAsia" w:ascii="仿宋_GB2312" w:eastAsia="仿宋_GB2312"/>
                <w:sz w:val="32"/>
                <w:szCs w:val="32"/>
              </w:rPr>
              <w:t>1</w:t>
            </w:r>
          </w:p>
        </w:tc>
        <w:tc>
          <w:tcPr>
            <w:tcW w:w="6328" w:type="dxa"/>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ascii="仿宋_GB2312" w:eastAsia="仿宋_GB2312"/>
          <w:color w:val="000000"/>
          <w:sz w:val="30"/>
          <w:szCs w:val="30"/>
        </w:rPr>
      </w:pPr>
      <w:r>
        <w:rPr>
          <w:rFonts w:ascii="仿宋_GB2312" w:eastAsia="仿宋_GB2312"/>
          <w:color w:val="000000"/>
          <w:sz w:val="30"/>
          <w:szCs w:val="30"/>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第二部分  部门预算表</w:t>
      </w:r>
    </w:p>
    <w:tbl>
      <w:tblPr>
        <w:tblStyle w:val="6"/>
        <w:tblW w:w="9870" w:type="dxa"/>
        <w:jc w:val="center"/>
        <w:tblLayout w:type="autofit"/>
        <w:tblCellMar>
          <w:top w:w="0" w:type="dxa"/>
          <w:left w:w="108" w:type="dxa"/>
          <w:bottom w:w="0" w:type="dxa"/>
          <w:right w:w="108" w:type="dxa"/>
        </w:tblCellMar>
      </w:tblPr>
      <w:tblGrid>
        <w:gridCol w:w="3885"/>
        <w:gridCol w:w="1575"/>
        <w:gridCol w:w="2835"/>
        <w:gridCol w:w="1575"/>
      </w:tblGrid>
      <w:tr>
        <w:trPr>
          <w:trHeight w:val="90" w:hRule="atLeast"/>
          <w:jc w:val="center"/>
        </w:trPr>
        <w:tc>
          <w:tcPr>
            <w:tcW w:w="9870" w:type="dxa"/>
            <w:gridSpan w:val="4"/>
            <w:tcBorders>
              <w:top w:val="nil"/>
              <w:left w:val="nil"/>
              <w:bottom w:val="nil"/>
              <w:right w:val="nil"/>
            </w:tcBorders>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75.19</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10.10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8.77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50.61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5.71</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75.19</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75.19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75.19</w:t>
            </w:r>
          </w:p>
        </w:tc>
        <w:tc>
          <w:tcPr>
            <w:tcW w:w="28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75.19</w:t>
            </w:r>
          </w:p>
        </w:tc>
      </w:tr>
    </w:tbl>
    <w:p>
      <w:pPr>
        <w:rPr>
          <w:rFonts w:ascii="仿宋_GB2312" w:eastAsia="仿宋_GB2312"/>
          <w:sz w:val="32"/>
          <w:szCs w:val="32"/>
        </w:rPr>
      </w:pPr>
    </w:p>
    <w:tbl>
      <w:tblPr>
        <w:tblStyle w:val="6"/>
        <w:tblpPr w:leftFromText="180" w:rightFromText="180" w:vertAnchor="text" w:horzAnchor="page" w:tblpXSpec="center" w:tblpY="618"/>
        <w:tblOverlap w:val="never"/>
        <w:tblW w:w="11331" w:type="dxa"/>
        <w:jc w:val="center"/>
        <w:tblLayout w:type="fixed"/>
        <w:tblCellMar>
          <w:top w:w="0" w:type="dxa"/>
          <w:left w:w="108" w:type="dxa"/>
          <w:bottom w:w="0" w:type="dxa"/>
          <w:right w:w="108" w:type="dxa"/>
        </w:tblCellMar>
      </w:tblPr>
      <w:tblGrid>
        <w:gridCol w:w="1012"/>
        <w:gridCol w:w="988"/>
        <w:gridCol w:w="934"/>
        <w:gridCol w:w="1084"/>
        <w:gridCol w:w="914"/>
        <w:gridCol w:w="914"/>
        <w:gridCol w:w="914"/>
        <w:gridCol w:w="914"/>
        <w:gridCol w:w="914"/>
        <w:gridCol w:w="914"/>
        <w:gridCol w:w="914"/>
        <w:gridCol w:w="915"/>
      </w:tblGrid>
      <w:tr>
        <w:tblPrEx>
          <w:tblCellMar>
            <w:top w:w="0" w:type="dxa"/>
            <w:left w:w="108" w:type="dxa"/>
            <w:bottom w:w="0" w:type="dxa"/>
            <w:right w:w="108" w:type="dxa"/>
          </w:tblCellMar>
        </w:tblPrEx>
        <w:trPr>
          <w:trHeight w:val="392" w:hRule="atLeast"/>
          <w:jc w:val="center"/>
        </w:trPr>
        <w:tc>
          <w:tcPr>
            <w:tcW w:w="11331"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331"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331" w:type="dxa"/>
            <w:gridSpan w:val="12"/>
            <w:tcBorders>
              <w:top w:val="nil"/>
              <w:left w:val="nil"/>
              <w:bottom w:val="single" w:color="auto" w:sz="4" w:space="0"/>
              <w:right w:val="nil"/>
            </w:tcBorders>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预算部门</w:t>
            </w:r>
          </w:p>
        </w:tc>
        <w:tc>
          <w:tcPr>
            <w:tcW w:w="98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附属部门上缴收入</w:t>
            </w:r>
          </w:p>
        </w:tc>
        <w:tc>
          <w:tcPr>
            <w:tcW w:w="9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事业部门经营收入</w:t>
            </w:r>
          </w:p>
        </w:tc>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01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p>
        </w:tc>
        <w:tc>
          <w:tcPr>
            <w:tcW w:w="98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75.19</w:t>
            </w:r>
          </w:p>
        </w:tc>
        <w:tc>
          <w:tcPr>
            <w:tcW w:w="9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75.19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1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湟源县林业和草原局</w:t>
            </w:r>
          </w:p>
        </w:tc>
        <w:tc>
          <w:tcPr>
            <w:tcW w:w="98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75.19</w:t>
            </w:r>
          </w:p>
        </w:tc>
        <w:tc>
          <w:tcPr>
            <w:tcW w:w="9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75.19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01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0"/>
              </w:rPr>
            </w:pPr>
            <w:r>
              <w:rPr>
                <w:rFonts w:hint="eastAsia" w:ascii="宋体" w:hAnsi="宋体" w:cs="宋体"/>
                <w:color w:val="000000"/>
                <w:kern w:val="0"/>
                <w:sz w:val="20"/>
              </w:rPr>
              <w:t>湟源县野生动物保护站</w:t>
            </w:r>
          </w:p>
        </w:tc>
        <w:tc>
          <w:tcPr>
            <w:tcW w:w="98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75.19</w:t>
            </w:r>
          </w:p>
        </w:tc>
        <w:tc>
          <w:tcPr>
            <w:tcW w:w="93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r>
              <w:rPr>
                <w:rFonts w:hint="eastAsia" w:ascii="宋体" w:hAnsi="宋体" w:cs="宋体"/>
                <w:color w:val="000000"/>
                <w:kern w:val="0"/>
                <w:sz w:val="20"/>
              </w:rPr>
              <w:t>75.19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c>
          <w:tcPr>
            <w:tcW w:w="91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6"/>
        <w:tblW w:w="11368" w:type="dxa"/>
        <w:jc w:val="center"/>
        <w:tblLayout w:type="fixed"/>
        <w:tblCellMar>
          <w:top w:w="0" w:type="dxa"/>
          <w:left w:w="108" w:type="dxa"/>
          <w:bottom w:w="0" w:type="dxa"/>
          <w:right w:w="108" w:type="dxa"/>
        </w:tblCellMar>
      </w:tblPr>
      <w:tblGrid>
        <w:gridCol w:w="1100"/>
        <w:gridCol w:w="3856"/>
        <w:gridCol w:w="1068"/>
        <w:gridCol w:w="1068"/>
        <w:gridCol w:w="1068"/>
        <w:gridCol w:w="1068"/>
        <w:gridCol w:w="1068"/>
        <w:gridCol w:w="1072"/>
      </w:tblGrid>
      <w:tr>
        <w:tblPrEx>
          <w:tblCellMar>
            <w:top w:w="0" w:type="dxa"/>
            <w:left w:w="108" w:type="dxa"/>
            <w:bottom w:w="0" w:type="dxa"/>
            <w:right w:w="108" w:type="dxa"/>
          </w:tblCellMar>
        </w:tblPrEx>
        <w:trPr>
          <w:trHeight w:val="187" w:hRule="atLeast"/>
          <w:jc w:val="center"/>
        </w:trPr>
        <w:tc>
          <w:tcPr>
            <w:tcW w:w="11368"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rPr>
              <w:t>部门公开表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368"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368" w:type="dxa"/>
            <w:gridSpan w:val="8"/>
            <w:tcBorders>
              <w:top w:val="nil"/>
              <w:left w:val="nil"/>
              <w:bottom w:val="single" w:color="auto" w:sz="4" w:space="0"/>
              <w:right w:val="nil"/>
            </w:tcBorders>
            <w:shd w:val="clear" w:color="auto" w:fill="FFFFFF"/>
            <w:noWrap/>
            <w:vAlign w:val="center"/>
          </w:tcPr>
          <w:p>
            <w:pPr>
              <w:widowControl/>
              <w:jc w:val="right"/>
              <w:rPr>
                <w:rFonts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事业部门经营支出</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对附属部门补助支出</w:t>
            </w:r>
          </w:p>
        </w:tc>
      </w:tr>
      <w:tr>
        <w:tblPrEx>
          <w:tblCellMar>
            <w:top w:w="0" w:type="dxa"/>
            <w:left w:w="108" w:type="dxa"/>
            <w:bottom w:w="0" w:type="dxa"/>
            <w:right w:w="108" w:type="dxa"/>
          </w:tblCellMar>
        </w:tblPrEx>
        <w:trPr>
          <w:trHeight w:val="324" w:hRule="atLeast"/>
          <w:jc w:val="center"/>
        </w:trPr>
        <w:tc>
          <w:tcPr>
            <w:tcW w:w="495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75.19</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75.19</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w:t>
            </w:r>
          </w:p>
        </w:tc>
        <w:tc>
          <w:tcPr>
            <w:tcW w:w="38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社会保障和就业支出</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10.10</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10.10</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w:t>
            </w:r>
          </w:p>
        </w:tc>
        <w:tc>
          <w:tcPr>
            <w:tcW w:w="38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行政事业单位养老支出</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9.52</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9.52</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2080505</w:t>
            </w:r>
          </w:p>
        </w:tc>
        <w:tc>
          <w:tcPr>
            <w:tcW w:w="38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机关事业单位基本养老保险缴费支出</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6.34</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6.34</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2080506</w:t>
            </w:r>
          </w:p>
        </w:tc>
        <w:tc>
          <w:tcPr>
            <w:tcW w:w="38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机关事业单位职业年金缴费支出</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3.17</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3.17</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w:t>
            </w:r>
          </w:p>
        </w:tc>
        <w:tc>
          <w:tcPr>
            <w:tcW w:w="38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0.58</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0.58</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2089999</w:t>
            </w:r>
          </w:p>
        </w:tc>
        <w:tc>
          <w:tcPr>
            <w:tcW w:w="38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其他社会保障和就业支出</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0.58</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0.58</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w:t>
            </w:r>
          </w:p>
        </w:tc>
        <w:tc>
          <w:tcPr>
            <w:tcW w:w="38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卫生健康支出</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8.77</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8.77</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w:t>
            </w:r>
          </w:p>
        </w:tc>
        <w:tc>
          <w:tcPr>
            <w:tcW w:w="38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行政事业单位医疗</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8.77</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8.77</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2101102</w:t>
            </w:r>
          </w:p>
        </w:tc>
        <w:tc>
          <w:tcPr>
            <w:tcW w:w="38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事业单位医疗</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5.86</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5.86</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2101103</w:t>
            </w:r>
          </w:p>
        </w:tc>
        <w:tc>
          <w:tcPr>
            <w:tcW w:w="38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公务员医疗补助</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2.90</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2.90</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w:t>
            </w:r>
          </w:p>
        </w:tc>
        <w:tc>
          <w:tcPr>
            <w:tcW w:w="38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农林水支出</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50.61</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50.61</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21302</w:t>
            </w:r>
          </w:p>
        </w:tc>
        <w:tc>
          <w:tcPr>
            <w:tcW w:w="38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林业和草原</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50.61</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50.61</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2130204</w:t>
            </w:r>
          </w:p>
        </w:tc>
        <w:tc>
          <w:tcPr>
            <w:tcW w:w="38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事业机构</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50.61</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50.61</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w:t>
            </w:r>
          </w:p>
        </w:tc>
        <w:tc>
          <w:tcPr>
            <w:tcW w:w="38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住房保障支出</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5.71</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5.71</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w:t>
            </w:r>
          </w:p>
        </w:tc>
        <w:tc>
          <w:tcPr>
            <w:tcW w:w="38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住房改革支出</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5.71</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5.71</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2210201</w:t>
            </w:r>
          </w:p>
        </w:tc>
        <w:tc>
          <w:tcPr>
            <w:tcW w:w="385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住房公积金</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5.71</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5.71</w:t>
            </w: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c>
          <w:tcPr>
            <w:tcW w:w="107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p>
        </w:tc>
      </w:tr>
    </w:tbl>
    <w:p>
      <w:r>
        <w:br w:type="page"/>
      </w:r>
    </w:p>
    <w:tbl>
      <w:tblPr>
        <w:tblStyle w:val="6"/>
        <w:tblpPr w:leftFromText="180" w:rightFromText="180" w:vertAnchor="text" w:horzAnchor="page" w:tblpXSpec="center" w:tblpY="183"/>
        <w:tblOverlap w:val="never"/>
        <w:tblW w:w="9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8"/>
        <w:gridCol w:w="1084"/>
        <w:gridCol w:w="1751"/>
        <w:gridCol w:w="1267"/>
        <w:gridCol w:w="1312"/>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02" w:type="dxa"/>
            <w:gridSpan w:val="6"/>
            <w:tcBorders>
              <w:top w:val="nil"/>
              <w:left w:val="nil"/>
              <w:bottom w:val="nil"/>
              <w:right w:val="nil"/>
            </w:tcBorders>
            <w:vAlign w:val="center"/>
          </w:tcPr>
          <w:p>
            <w:pPr>
              <w:widowControl/>
              <w:ind w:right="201"/>
              <w:jc w:val="right"/>
              <w:rPr>
                <w:rFonts w:ascii="宋体" w:hAnsi="宋体" w:cs="宋体"/>
                <w:b/>
                <w:kern w:val="0"/>
                <w:sz w:val="20"/>
              </w:rPr>
            </w:pPr>
            <w:r>
              <w:rPr>
                <w:rFonts w:hint="eastAsia" w:ascii="宋体" w:hAnsi="宋体" w:cs="宋体"/>
                <w:b/>
                <w:kern w:val="0"/>
                <w:sz w:val="20"/>
              </w:rPr>
              <w:t>部门公开表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02"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02"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132"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26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1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4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75.19</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一、本年支出</w:t>
            </w:r>
          </w:p>
        </w:tc>
        <w:tc>
          <w:tcPr>
            <w:tcW w:w="1267"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75.19</w:t>
            </w:r>
          </w:p>
        </w:tc>
        <w:tc>
          <w:tcPr>
            <w:tcW w:w="131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75.19</w:t>
            </w: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75.19</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（一）一般公共服务支出</w:t>
            </w:r>
          </w:p>
        </w:tc>
        <w:tc>
          <w:tcPr>
            <w:tcW w:w="1267" w:type="dxa"/>
            <w:shd w:val="clear" w:color="auto" w:fill="FFFFFF"/>
            <w:noWrap/>
            <w:vAlign w:val="center"/>
          </w:tcPr>
          <w:p>
            <w:pPr>
              <w:widowControl/>
              <w:jc w:val="center"/>
              <w:rPr>
                <w:rFonts w:ascii="宋体" w:hAnsi="宋体" w:cs="宋体"/>
                <w:kern w:val="0"/>
                <w:sz w:val="20"/>
              </w:rPr>
            </w:pPr>
          </w:p>
        </w:tc>
        <w:tc>
          <w:tcPr>
            <w:tcW w:w="1312" w:type="dxa"/>
            <w:shd w:val="clear" w:color="auto" w:fill="FFFFFF"/>
            <w:noWrap/>
            <w:vAlign w:val="center"/>
          </w:tcPr>
          <w:p>
            <w:pPr>
              <w:widowControl/>
              <w:jc w:val="center"/>
              <w:rPr>
                <w:rFonts w:ascii="宋体" w:hAnsi="宋体" w:cs="宋体"/>
                <w:kern w:val="0"/>
                <w:sz w:val="20"/>
              </w:rPr>
            </w:pP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（二）外交支出</w:t>
            </w:r>
          </w:p>
        </w:tc>
        <w:tc>
          <w:tcPr>
            <w:tcW w:w="1267" w:type="dxa"/>
            <w:shd w:val="clear" w:color="auto" w:fill="FFFFFF"/>
            <w:noWrap/>
            <w:vAlign w:val="center"/>
          </w:tcPr>
          <w:p>
            <w:pPr>
              <w:widowControl/>
              <w:jc w:val="center"/>
              <w:rPr>
                <w:rFonts w:ascii="宋体" w:hAnsi="宋体" w:cs="宋体"/>
                <w:kern w:val="0"/>
                <w:sz w:val="20"/>
              </w:rPr>
            </w:pPr>
          </w:p>
        </w:tc>
        <w:tc>
          <w:tcPr>
            <w:tcW w:w="1312" w:type="dxa"/>
            <w:shd w:val="clear" w:color="auto" w:fill="FFFFFF"/>
            <w:noWrap/>
            <w:vAlign w:val="center"/>
          </w:tcPr>
          <w:p>
            <w:pPr>
              <w:widowControl/>
              <w:jc w:val="center"/>
              <w:rPr>
                <w:rFonts w:ascii="宋体" w:hAnsi="宋体" w:cs="宋体"/>
                <w:kern w:val="0"/>
                <w:sz w:val="20"/>
              </w:rPr>
            </w:pP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（三）国防支出</w:t>
            </w:r>
          </w:p>
        </w:tc>
        <w:tc>
          <w:tcPr>
            <w:tcW w:w="1267" w:type="dxa"/>
            <w:shd w:val="clear" w:color="auto" w:fill="FFFFFF"/>
            <w:noWrap/>
            <w:vAlign w:val="center"/>
          </w:tcPr>
          <w:p>
            <w:pPr>
              <w:widowControl/>
              <w:jc w:val="center"/>
              <w:rPr>
                <w:rFonts w:ascii="宋体" w:hAnsi="宋体" w:cs="宋体"/>
                <w:kern w:val="0"/>
                <w:sz w:val="20"/>
              </w:rPr>
            </w:pPr>
          </w:p>
        </w:tc>
        <w:tc>
          <w:tcPr>
            <w:tcW w:w="1312" w:type="dxa"/>
            <w:shd w:val="clear" w:color="auto" w:fill="FFFFFF"/>
            <w:noWrap/>
            <w:vAlign w:val="center"/>
          </w:tcPr>
          <w:p>
            <w:pPr>
              <w:widowControl/>
              <w:jc w:val="center"/>
              <w:rPr>
                <w:rFonts w:ascii="宋体" w:hAnsi="宋体" w:cs="宋体"/>
                <w:kern w:val="0"/>
                <w:sz w:val="20"/>
              </w:rPr>
            </w:pP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（四）公共安全支出</w:t>
            </w:r>
          </w:p>
        </w:tc>
        <w:tc>
          <w:tcPr>
            <w:tcW w:w="1267" w:type="dxa"/>
            <w:shd w:val="clear" w:color="auto" w:fill="FFFFFF"/>
            <w:noWrap/>
            <w:vAlign w:val="center"/>
          </w:tcPr>
          <w:p>
            <w:pPr>
              <w:widowControl/>
              <w:jc w:val="center"/>
              <w:rPr>
                <w:rFonts w:ascii="宋体" w:hAnsi="宋体" w:cs="宋体"/>
                <w:kern w:val="0"/>
                <w:sz w:val="20"/>
              </w:rPr>
            </w:pPr>
          </w:p>
        </w:tc>
        <w:tc>
          <w:tcPr>
            <w:tcW w:w="1312" w:type="dxa"/>
            <w:shd w:val="clear" w:color="auto" w:fill="FFFFFF"/>
            <w:noWrap/>
            <w:vAlign w:val="center"/>
          </w:tcPr>
          <w:p>
            <w:pPr>
              <w:widowControl/>
              <w:jc w:val="center"/>
              <w:rPr>
                <w:rFonts w:ascii="宋体" w:hAnsi="宋体" w:cs="宋体"/>
                <w:kern w:val="0"/>
                <w:sz w:val="20"/>
              </w:rPr>
            </w:pP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（五）教育支出</w:t>
            </w:r>
          </w:p>
        </w:tc>
        <w:tc>
          <w:tcPr>
            <w:tcW w:w="1267" w:type="dxa"/>
            <w:shd w:val="clear" w:color="auto" w:fill="FFFFFF"/>
            <w:noWrap/>
            <w:vAlign w:val="center"/>
          </w:tcPr>
          <w:p>
            <w:pPr>
              <w:widowControl/>
              <w:jc w:val="center"/>
              <w:rPr>
                <w:rFonts w:ascii="宋体" w:hAnsi="宋体" w:cs="宋体"/>
                <w:kern w:val="0"/>
                <w:sz w:val="20"/>
              </w:rPr>
            </w:pPr>
          </w:p>
        </w:tc>
        <w:tc>
          <w:tcPr>
            <w:tcW w:w="1312" w:type="dxa"/>
            <w:shd w:val="clear" w:color="auto" w:fill="FFFFFF"/>
            <w:noWrap/>
            <w:vAlign w:val="center"/>
          </w:tcPr>
          <w:p>
            <w:pPr>
              <w:widowControl/>
              <w:jc w:val="center"/>
              <w:rPr>
                <w:rFonts w:ascii="宋体" w:hAnsi="宋体" w:cs="宋体"/>
                <w:kern w:val="0"/>
                <w:sz w:val="20"/>
              </w:rPr>
            </w:pP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（六）科学技术支出</w:t>
            </w:r>
          </w:p>
        </w:tc>
        <w:tc>
          <w:tcPr>
            <w:tcW w:w="1267" w:type="dxa"/>
            <w:shd w:val="clear" w:color="auto" w:fill="FFFFFF"/>
            <w:noWrap/>
            <w:vAlign w:val="center"/>
          </w:tcPr>
          <w:p>
            <w:pPr>
              <w:widowControl/>
              <w:jc w:val="center"/>
              <w:rPr>
                <w:rFonts w:ascii="宋体" w:hAnsi="宋体" w:cs="宋体"/>
                <w:kern w:val="0"/>
                <w:sz w:val="20"/>
              </w:rPr>
            </w:pPr>
          </w:p>
        </w:tc>
        <w:tc>
          <w:tcPr>
            <w:tcW w:w="1312" w:type="dxa"/>
            <w:shd w:val="clear" w:color="auto" w:fill="FFFFFF"/>
            <w:noWrap/>
            <w:vAlign w:val="center"/>
          </w:tcPr>
          <w:p>
            <w:pPr>
              <w:widowControl/>
              <w:jc w:val="center"/>
              <w:rPr>
                <w:rFonts w:ascii="宋体" w:hAnsi="宋体" w:cs="宋体"/>
                <w:kern w:val="0"/>
                <w:sz w:val="20"/>
              </w:rPr>
            </w:pP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（七）文化旅游体育与传媒支出</w:t>
            </w:r>
          </w:p>
        </w:tc>
        <w:tc>
          <w:tcPr>
            <w:tcW w:w="1267" w:type="dxa"/>
            <w:shd w:val="clear" w:color="auto" w:fill="FFFFFF"/>
            <w:noWrap/>
            <w:vAlign w:val="center"/>
          </w:tcPr>
          <w:p>
            <w:pPr>
              <w:widowControl/>
              <w:jc w:val="center"/>
              <w:rPr>
                <w:rFonts w:ascii="宋体" w:hAnsi="宋体" w:cs="宋体"/>
                <w:kern w:val="0"/>
                <w:sz w:val="20"/>
              </w:rPr>
            </w:pPr>
          </w:p>
        </w:tc>
        <w:tc>
          <w:tcPr>
            <w:tcW w:w="1312" w:type="dxa"/>
            <w:shd w:val="clear" w:color="auto" w:fill="FFFFFF"/>
            <w:noWrap/>
            <w:vAlign w:val="center"/>
          </w:tcPr>
          <w:p>
            <w:pPr>
              <w:widowControl/>
              <w:jc w:val="center"/>
              <w:rPr>
                <w:rFonts w:ascii="宋体" w:hAnsi="宋体" w:cs="宋体"/>
                <w:kern w:val="0"/>
                <w:sz w:val="20"/>
              </w:rPr>
            </w:pP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（八）社会保障和就业支出</w:t>
            </w:r>
          </w:p>
        </w:tc>
        <w:tc>
          <w:tcPr>
            <w:tcW w:w="1267"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10.10</w:t>
            </w:r>
          </w:p>
        </w:tc>
        <w:tc>
          <w:tcPr>
            <w:tcW w:w="131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10.10</w:t>
            </w: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（九）社会保险基金支出</w:t>
            </w:r>
          </w:p>
        </w:tc>
        <w:tc>
          <w:tcPr>
            <w:tcW w:w="1267" w:type="dxa"/>
            <w:shd w:val="clear" w:color="auto" w:fill="FFFFFF"/>
            <w:noWrap/>
            <w:vAlign w:val="center"/>
          </w:tcPr>
          <w:p>
            <w:pPr>
              <w:widowControl/>
              <w:jc w:val="center"/>
              <w:rPr>
                <w:rFonts w:ascii="宋体" w:hAnsi="宋体" w:cs="宋体"/>
                <w:kern w:val="0"/>
                <w:sz w:val="20"/>
              </w:rPr>
            </w:pPr>
          </w:p>
        </w:tc>
        <w:tc>
          <w:tcPr>
            <w:tcW w:w="1312" w:type="dxa"/>
            <w:shd w:val="clear" w:color="auto" w:fill="FFFFFF"/>
            <w:noWrap/>
            <w:vAlign w:val="center"/>
          </w:tcPr>
          <w:p>
            <w:pPr>
              <w:widowControl/>
              <w:jc w:val="center"/>
              <w:rPr>
                <w:rFonts w:ascii="宋体" w:hAnsi="宋体" w:cs="宋体"/>
                <w:kern w:val="0"/>
                <w:sz w:val="20"/>
              </w:rPr>
            </w:pP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（十）卫生健康支出</w:t>
            </w:r>
          </w:p>
        </w:tc>
        <w:tc>
          <w:tcPr>
            <w:tcW w:w="1267"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8.77</w:t>
            </w:r>
          </w:p>
        </w:tc>
        <w:tc>
          <w:tcPr>
            <w:tcW w:w="131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8.77</w:t>
            </w: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（十一）节能环保支出</w:t>
            </w:r>
          </w:p>
        </w:tc>
        <w:tc>
          <w:tcPr>
            <w:tcW w:w="1267" w:type="dxa"/>
            <w:shd w:val="clear" w:color="auto" w:fill="FFFFFF"/>
            <w:noWrap/>
            <w:vAlign w:val="center"/>
          </w:tcPr>
          <w:p>
            <w:pPr>
              <w:widowControl/>
              <w:jc w:val="center"/>
              <w:rPr>
                <w:rFonts w:ascii="宋体" w:hAnsi="宋体" w:cs="宋体"/>
                <w:kern w:val="0"/>
                <w:sz w:val="20"/>
              </w:rPr>
            </w:pPr>
          </w:p>
        </w:tc>
        <w:tc>
          <w:tcPr>
            <w:tcW w:w="1312" w:type="dxa"/>
            <w:shd w:val="clear" w:color="auto" w:fill="FFFFFF"/>
            <w:noWrap/>
            <w:vAlign w:val="center"/>
          </w:tcPr>
          <w:p>
            <w:pPr>
              <w:widowControl/>
              <w:jc w:val="center"/>
              <w:rPr>
                <w:rFonts w:ascii="宋体" w:hAnsi="宋体" w:cs="宋体"/>
                <w:kern w:val="0"/>
                <w:sz w:val="20"/>
              </w:rPr>
            </w:pP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（十二）城乡社区支出</w:t>
            </w:r>
          </w:p>
        </w:tc>
        <w:tc>
          <w:tcPr>
            <w:tcW w:w="1267" w:type="dxa"/>
            <w:shd w:val="clear" w:color="auto" w:fill="FFFFFF"/>
            <w:noWrap/>
            <w:vAlign w:val="center"/>
          </w:tcPr>
          <w:p>
            <w:pPr>
              <w:widowControl/>
              <w:jc w:val="center"/>
              <w:rPr>
                <w:rFonts w:ascii="宋体" w:hAnsi="宋体" w:cs="宋体"/>
                <w:kern w:val="0"/>
                <w:sz w:val="20"/>
              </w:rPr>
            </w:pPr>
          </w:p>
        </w:tc>
        <w:tc>
          <w:tcPr>
            <w:tcW w:w="1312" w:type="dxa"/>
            <w:shd w:val="clear" w:color="auto" w:fill="FFFFFF"/>
            <w:noWrap/>
            <w:vAlign w:val="center"/>
          </w:tcPr>
          <w:p>
            <w:pPr>
              <w:widowControl/>
              <w:jc w:val="center"/>
              <w:rPr>
                <w:rFonts w:ascii="宋体" w:hAnsi="宋体" w:cs="宋体"/>
                <w:kern w:val="0"/>
                <w:sz w:val="20"/>
              </w:rPr>
            </w:pP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（十三）农林水支出</w:t>
            </w:r>
          </w:p>
        </w:tc>
        <w:tc>
          <w:tcPr>
            <w:tcW w:w="1267"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50.61</w:t>
            </w:r>
          </w:p>
        </w:tc>
        <w:tc>
          <w:tcPr>
            <w:tcW w:w="131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50.61</w:t>
            </w: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（十四）交通运输支出</w:t>
            </w:r>
          </w:p>
        </w:tc>
        <w:tc>
          <w:tcPr>
            <w:tcW w:w="1267" w:type="dxa"/>
            <w:shd w:val="clear" w:color="auto" w:fill="FFFFFF"/>
            <w:noWrap/>
            <w:vAlign w:val="center"/>
          </w:tcPr>
          <w:p>
            <w:pPr>
              <w:widowControl/>
              <w:jc w:val="center"/>
              <w:rPr>
                <w:rFonts w:ascii="宋体" w:hAnsi="宋体" w:cs="宋体"/>
                <w:kern w:val="0"/>
                <w:sz w:val="20"/>
              </w:rPr>
            </w:pPr>
          </w:p>
        </w:tc>
        <w:tc>
          <w:tcPr>
            <w:tcW w:w="1312" w:type="dxa"/>
            <w:shd w:val="clear" w:color="auto" w:fill="FFFFFF"/>
            <w:noWrap/>
            <w:vAlign w:val="center"/>
          </w:tcPr>
          <w:p>
            <w:pPr>
              <w:widowControl/>
              <w:jc w:val="center"/>
              <w:rPr>
                <w:rFonts w:ascii="宋体" w:hAnsi="宋体" w:cs="宋体"/>
                <w:kern w:val="0"/>
                <w:sz w:val="20"/>
              </w:rPr>
            </w:pP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（十五）资源勘探工业信息等支出</w:t>
            </w:r>
          </w:p>
        </w:tc>
        <w:tc>
          <w:tcPr>
            <w:tcW w:w="1267" w:type="dxa"/>
            <w:shd w:val="clear" w:color="auto" w:fill="FFFFFF"/>
            <w:noWrap/>
            <w:vAlign w:val="center"/>
          </w:tcPr>
          <w:p>
            <w:pPr>
              <w:widowControl/>
              <w:jc w:val="center"/>
              <w:rPr>
                <w:rFonts w:ascii="宋体" w:hAnsi="宋体" w:cs="宋体"/>
                <w:kern w:val="0"/>
                <w:sz w:val="20"/>
              </w:rPr>
            </w:pPr>
          </w:p>
        </w:tc>
        <w:tc>
          <w:tcPr>
            <w:tcW w:w="1312" w:type="dxa"/>
            <w:shd w:val="clear" w:color="auto" w:fill="FFFFFF"/>
            <w:noWrap/>
            <w:vAlign w:val="center"/>
          </w:tcPr>
          <w:p>
            <w:pPr>
              <w:widowControl/>
              <w:jc w:val="center"/>
              <w:rPr>
                <w:rFonts w:ascii="宋体" w:hAnsi="宋体" w:cs="宋体"/>
                <w:kern w:val="0"/>
                <w:sz w:val="20"/>
              </w:rPr>
            </w:pP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（十六）商业服务业等支出</w:t>
            </w:r>
          </w:p>
        </w:tc>
        <w:tc>
          <w:tcPr>
            <w:tcW w:w="1267" w:type="dxa"/>
            <w:shd w:val="clear" w:color="auto" w:fill="FFFFFF"/>
            <w:noWrap/>
            <w:vAlign w:val="center"/>
          </w:tcPr>
          <w:p>
            <w:pPr>
              <w:widowControl/>
              <w:jc w:val="center"/>
              <w:rPr>
                <w:rFonts w:ascii="宋体" w:hAnsi="宋体" w:cs="宋体"/>
                <w:kern w:val="0"/>
                <w:sz w:val="20"/>
              </w:rPr>
            </w:pPr>
          </w:p>
        </w:tc>
        <w:tc>
          <w:tcPr>
            <w:tcW w:w="1312" w:type="dxa"/>
            <w:shd w:val="clear" w:color="auto" w:fill="FFFFFF"/>
            <w:noWrap/>
            <w:vAlign w:val="center"/>
          </w:tcPr>
          <w:p>
            <w:pPr>
              <w:widowControl/>
              <w:jc w:val="center"/>
              <w:rPr>
                <w:rFonts w:ascii="宋体" w:hAnsi="宋体" w:cs="宋体"/>
                <w:kern w:val="0"/>
                <w:sz w:val="20"/>
              </w:rPr>
            </w:pP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（十七）金融支出</w:t>
            </w:r>
          </w:p>
        </w:tc>
        <w:tc>
          <w:tcPr>
            <w:tcW w:w="1267" w:type="dxa"/>
            <w:shd w:val="clear" w:color="auto" w:fill="FFFFFF"/>
            <w:noWrap/>
            <w:vAlign w:val="center"/>
          </w:tcPr>
          <w:p>
            <w:pPr>
              <w:widowControl/>
              <w:jc w:val="center"/>
              <w:rPr>
                <w:rFonts w:ascii="宋体" w:hAnsi="宋体" w:cs="宋体"/>
                <w:kern w:val="0"/>
                <w:sz w:val="20"/>
              </w:rPr>
            </w:pPr>
          </w:p>
        </w:tc>
        <w:tc>
          <w:tcPr>
            <w:tcW w:w="1312" w:type="dxa"/>
            <w:shd w:val="clear" w:color="auto" w:fill="FFFFFF"/>
            <w:noWrap/>
            <w:vAlign w:val="center"/>
          </w:tcPr>
          <w:p>
            <w:pPr>
              <w:widowControl/>
              <w:jc w:val="center"/>
              <w:rPr>
                <w:rFonts w:ascii="宋体" w:hAnsi="宋体" w:cs="宋体"/>
                <w:kern w:val="0"/>
                <w:sz w:val="20"/>
              </w:rPr>
            </w:pP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（十八）援助其他地区支出</w:t>
            </w:r>
          </w:p>
        </w:tc>
        <w:tc>
          <w:tcPr>
            <w:tcW w:w="1267" w:type="dxa"/>
            <w:shd w:val="clear" w:color="auto" w:fill="FFFFFF"/>
            <w:noWrap/>
            <w:vAlign w:val="center"/>
          </w:tcPr>
          <w:p>
            <w:pPr>
              <w:widowControl/>
              <w:jc w:val="center"/>
              <w:rPr>
                <w:rFonts w:ascii="宋体" w:hAnsi="宋体" w:cs="宋体"/>
                <w:kern w:val="0"/>
                <w:sz w:val="20"/>
              </w:rPr>
            </w:pPr>
          </w:p>
        </w:tc>
        <w:tc>
          <w:tcPr>
            <w:tcW w:w="1312" w:type="dxa"/>
            <w:shd w:val="clear" w:color="auto" w:fill="FFFFFF"/>
            <w:noWrap/>
            <w:vAlign w:val="center"/>
          </w:tcPr>
          <w:p>
            <w:pPr>
              <w:widowControl/>
              <w:jc w:val="center"/>
              <w:rPr>
                <w:rFonts w:ascii="宋体" w:hAnsi="宋体" w:cs="宋体"/>
                <w:kern w:val="0"/>
                <w:sz w:val="20"/>
              </w:rPr>
            </w:pP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（十九）自然资源海洋气象等支出</w:t>
            </w:r>
          </w:p>
        </w:tc>
        <w:tc>
          <w:tcPr>
            <w:tcW w:w="1267" w:type="dxa"/>
            <w:shd w:val="clear" w:color="auto" w:fill="FFFFFF"/>
            <w:noWrap/>
            <w:vAlign w:val="center"/>
          </w:tcPr>
          <w:p>
            <w:pPr>
              <w:widowControl/>
              <w:jc w:val="center"/>
              <w:rPr>
                <w:rFonts w:ascii="宋体" w:hAnsi="宋体" w:cs="宋体"/>
                <w:kern w:val="0"/>
                <w:sz w:val="20"/>
              </w:rPr>
            </w:pPr>
          </w:p>
        </w:tc>
        <w:tc>
          <w:tcPr>
            <w:tcW w:w="1312" w:type="dxa"/>
            <w:shd w:val="clear" w:color="auto" w:fill="FFFFFF"/>
            <w:noWrap/>
            <w:vAlign w:val="center"/>
          </w:tcPr>
          <w:p>
            <w:pPr>
              <w:widowControl/>
              <w:jc w:val="center"/>
              <w:rPr>
                <w:rFonts w:ascii="宋体" w:hAnsi="宋体" w:cs="宋体"/>
                <w:kern w:val="0"/>
                <w:sz w:val="20"/>
              </w:rPr>
            </w:pP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（二十）住房保障支出</w:t>
            </w:r>
          </w:p>
        </w:tc>
        <w:tc>
          <w:tcPr>
            <w:tcW w:w="1267"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5.71</w:t>
            </w:r>
          </w:p>
        </w:tc>
        <w:tc>
          <w:tcPr>
            <w:tcW w:w="131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5.71</w:t>
            </w: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（二十一）粮油物资储备支出</w:t>
            </w:r>
          </w:p>
        </w:tc>
        <w:tc>
          <w:tcPr>
            <w:tcW w:w="1267" w:type="dxa"/>
            <w:shd w:val="clear" w:color="auto" w:fill="FFFFFF"/>
            <w:noWrap/>
            <w:vAlign w:val="center"/>
          </w:tcPr>
          <w:p>
            <w:pPr>
              <w:widowControl/>
              <w:jc w:val="center"/>
              <w:rPr>
                <w:rFonts w:ascii="宋体" w:hAnsi="宋体" w:cs="宋体"/>
                <w:kern w:val="0"/>
                <w:sz w:val="20"/>
              </w:rPr>
            </w:pPr>
          </w:p>
        </w:tc>
        <w:tc>
          <w:tcPr>
            <w:tcW w:w="1312" w:type="dxa"/>
            <w:shd w:val="clear" w:color="auto" w:fill="FFFFFF"/>
            <w:noWrap/>
            <w:vAlign w:val="center"/>
          </w:tcPr>
          <w:p>
            <w:pPr>
              <w:widowControl/>
              <w:jc w:val="center"/>
              <w:rPr>
                <w:rFonts w:ascii="宋体" w:hAnsi="宋体" w:cs="宋体"/>
                <w:kern w:val="0"/>
                <w:sz w:val="20"/>
              </w:rPr>
            </w:pP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（二十二）国有资本经营预算支出</w:t>
            </w:r>
          </w:p>
        </w:tc>
        <w:tc>
          <w:tcPr>
            <w:tcW w:w="1267" w:type="dxa"/>
            <w:shd w:val="clear" w:color="auto" w:fill="FFFFFF"/>
            <w:noWrap/>
            <w:vAlign w:val="center"/>
          </w:tcPr>
          <w:p>
            <w:pPr>
              <w:widowControl/>
              <w:jc w:val="center"/>
              <w:rPr>
                <w:rFonts w:ascii="宋体" w:hAnsi="宋体" w:cs="宋体"/>
                <w:kern w:val="0"/>
                <w:sz w:val="20"/>
              </w:rPr>
            </w:pPr>
          </w:p>
        </w:tc>
        <w:tc>
          <w:tcPr>
            <w:tcW w:w="1312" w:type="dxa"/>
            <w:shd w:val="clear" w:color="auto" w:fill="FFFFFF"/>
            <w:noWrap/>
            <w:vAlign w:val="center"/>
          </w:tcPr>
          <w:p>
            <w:pPr>
              <w:widowControl/>
              <w:jc w:val="center"/>
              <w:rPr>
                <w:rFonts w:ascii="宋体" w:hAnsi="宋体" w:cs="宋体"/>
                <w:kern w:val="0"/>
                <w:sz w:val="20"/>
              </w:rPr>
            </w:pP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（二十三）灾害防治及应急管理支出</w:t>
            </w:r>
          </w:p>
        </w:tc>
        <w:tc>
          <w:tcPr>
            <w:tcW w:w="1267" w:type="dxa"/>
            <w:shd w:val="clear" w:color="auto" w:fill="FFFFFF"/>
            <w:noWrap/>
            <w:vAlign w:val="center"/>
          </w:tcPr>
          <w:p>
            <w:pPr>
              <w:widowControl/>
              <w:jc w:val="center"/>
              <w:rPr>
                <w:rFonts w:ascii="宋体" w:hAnsi="宋体" w:cs="宋体"/>
                <w:kern w:val="0"/>
                <w:sz w:val="20"/>
              </w:rPr>
            </w:pPr>
          </w:p>
        </w:tc>
        <w:tc>
          <w:tcPr>
            <w:tcW w:w="1312" w:type="dxa"/>
            <w:shd w:val="clear" w:color="auto" w:fill="FFFFFF"/>
            <w:noWrap/>
            <w:vAlign w:val="center"/>
          </w:tcPr>
          <w:p>
            <w:pPr>
              <w:widowControl/>
              <w:jc w:val="center"/>
              <w:rPr>
                <w:rFonts w:ascii="宋体" w:hAnsi="宋体" w:cs="宋体"/>
                <w:kern w:val="0"/>
                <w:sz w:val="20"/>
              </w:rPr>
            </w:pP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（二十四）预备费</w:t>
            </w:r>
          </w:p>
        </w:tc>
        <w:tc>
          <w:tcPr>
            <w:tcW w:w="1267" w:type="dxa"/>
            <w:shd w:val="clear" w:color="auto" w:fill="FFFFFF"/>
            <w:noWrap/>
            <w:vAlign w:val="center"/>
          </w:tcPr>
          <w:p>
            <w:pPr>
              <w:widowControl/>
              <w:jc w:val="center"/>
              <w:rPr>
                <w:rFonts w:ascii="宋体" w:hAnsi="宋体" w:cs="宋体"/>
                <w:kern w:val="0"/>
                <w:sz w:val="20"/>
              </w:rPr>
            </w:pPr>
          </w:p>
        </w:tc>
        <w:tc>
          <w:tcPr>
            <w:tcW w:w="1312" w:type="dxa"/>
            <w:shd w:val="clear" w:color="auto" w:fill="FFFFFF"/>
            <w:noWrap/>
            <w:vAlign w:val="center"/>
          </w:tcPr>
          <w:p>
            <w:pPr>
              <w:widowControl/>
              <w:jc w:val="center"/>
              <w:rPr>
                <w:rFonts w:ascii="宋体" w:hAnsi="宋体" w:cs="宋体"/>
                <w:kern w:val="0"/>
                <w:sz w:val="20"/>
              </w:rPr>
            </w:pP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（二十五）其他支出</w:t>
            </w:r>
          </w:p>
        </w:tc>
        <w:tc>
          <w:tcPr>
            <w:tcW w:w="1267" w:type="dxa"/>
            <w:shd w:val="clear" w:color="auto" w:fill="FFFFFF"/>
            <w:noWrap/>
            <w:vAlign w:val="center"/>
          </w:tcPr>
          <w:p>
            <w:pPr>
              <w:widowControl/>
              <w:jc w:val="center"/>
              <w:rPr>
                <w:rFonts w:ascii="宋体" w:hAnsi="宋体" w:cs="宋体"/>
                <w:kern w:val="0"/>
                <w:sz w:val="20"/>
              </w:rPr>
            </w:pPr>
          </w:p>
        </w:tc>
        <w:tc>
          <w:tcPr>
            <w:tcW w:w="1312" w:type="dxa"/>
            <w:shd w:val="clear" w:color="auto" w:fill="FFFFFF"/>
            <w:noWrap/>
            <w:vAlign w:val="center"/>
          </w:tcPr>
          <w:p>
            <w:pPr>
              <w:widowControl/>
              <w:jc w:val="center"/>
              <w:rPr>
                <w:rFonts w:ascii="宋体" w:hAnsi="宋体" w:cs="宋体"/>
                <w:kern w:val="0"/>
                <w:sz w:val="20"/>
              </w:rPr>
            </w:pP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（二十六）转移性支出</w:t>
            </w:r>
          </w:p>
        </w:tc>
        <w:tc>
          <w:tcPr>
            <w:tcW w:w="1267" w:type="dxa"/>
            <w:shd w:val="clear" w:color="auto" w:fill="FFFFFF"/>
            <w:noWrap/>
            <w:vAlign w:val="center"/>
          </w:tcPr>
          <w:p>
            <w:pPr>
              <w:widowControl/>
              <w:jc w:val="center"/>
              <w:rPr>
                <w:rFonts w:ascii="宋体" w:hAnsi="宋体" w:cs="宋体"/>
                <w:kern w:val="0"/>
                <w:sz w:val="20"/>
              </w:rPr>
            </w:pPr>
          </w:p>
        </w:tc>
        <w:tc>
          <w:tcPr>
            <w:tcW w:w="1312" w:type="dxa"/>
            <w:shd w:val="clear" w:color="auto" w:fill="FFFFFF"/>
            <w:noWrap/>
            <w:vAlign w:val="center"/>
          </w:tcPr>
          <w:p>
            <w:pPr>
              <w:widowControl/>
              <w:jc w:val="center"/>
              <w:rPr>
                <w:rFonts w:ascii="宋体" w:hAnsi="宋体" w:cs="宋体"/>
                <w:kern w:val="0"/>
                <w:sz w:val="20"/>
              </w:rPr>
            </w:pP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（二十七）债务还本支出</w:t>
            </w:r>
          </w:p>
        </w:tc>
        <w:tc>
          <w:tcPr>
            <w:tcW w:w="1267" w:type="dxa"/>
            <w:shd w:val="clear" w:color="auto" w:fill="FFFFFF"/>
            <w:noWrap/>
            <w:vAlign w:val="center"/>
          </w:tcPr>
          <w:p>
            <w:pPr>
              <w:widowControl/>
              <w:jc w:val="center"/>
              <w:rPr>
                <w:rFonts w:ascii="宋体" w:hAnsi="宋体" w:cs="宋体"/>
                <w:kern w:val="0"/>
                <w:sz w:val="20"/>
              </w:rPr>
            </w:pPr>
          </w:p>
        </w:tc>
        <w:tc>
          <w:tcPr>
            <w:tcW w:w="1312" w:type="dxa"/>
            <w:shd w:val="clear" w:color="auto" w:fill="FFFFFF"/>
            <w:noWrap/>
            <w:vAlign w:val="center"/>
          </w:tcPr>
          <w:p>
            <w:pPr>
              <w:widowControl/>
              <w:jc w:val="center"/>
              <w:rPr>
                <w:rFonts w:ascii="宋体" w:hAnsi="宋体" w:cs="宋体"/>
                <w:kern w:val="0"/>
                <w:sz w:val="20"/>
              </w:rPr>
            </w:pP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（二十八）债务付息支出</w:t>
            </w:r>
          </w:p>
        </w:tc>
        <w:tc>
          <w:tcPr>
            <w:tcW w:w="1267" w:type="dxa"/>
            <w:shd w:val="clear" w:color="auto" w:fill="FFFFFF"/>
            <w:noWrap/>
            <w:vAlign w:val="center"/>
          </w:tcPr>
          <w:p>
            <w:pPr>
              <w:widowControl/>
              <w:jc w:val="center"/>
              <w:rPr>
                <w:rFonts w:ascii="宋体" w:hAnsi="宋体" w:cs="宋体"/>
                <w:kern w:val="0"/>
                <w:sz w:val="20"/>
              </w:rPr>
            </w:pPr>
          </w:p>
        </w:tc>
        <w:tc>
          <w:tcPr>
            <w:tcW w:w="1312" w:type="dxa"/>
            <w:shd w:val="clear" w:color="auto" w:fill="FFFFFF"/>
            <w:noWrap/>
            <w:vAlign w:val="center"/>
          </w:tcPr>
          <w:p>
            <w:pPr>
              <w:widowControl/>
              <w:jc w:val="center"/>
              <w:rPr>
                <w:rFonts w:ascii="宋体" w:hAnsi="宋体" w:cs="宋体"/>
                <w:kern w:val="0"/>
                <w:sz w:val="20"/>
              </w:rPr>
            </w:pP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（二十九）债务发行费用支出</w:t>
            </w:r>
          </w:p>
        </w:tc>
        <w:tc>
          <w:tcPr>
            <w:tcW w:w="1267" w:type="dxa"/>
            <w:shd w:val="clear" w:color="auto" w:fill="FFFFFF"/>
            <w:noWrap/>
            <w:vAlign w:val="center"/>
          </w:tcPr>
          <w:p>
            <w:pPr>
              <w:widowControl/>
              <w:jc w:val="center"/>
              <w:rPr>
                <w:rFonts w:ascii="宋体" w:hAnsi="宋体" w:cs="宋体"/>
                <w:kern w:val="0"/>
                <w:sz w:val="20"/>
              </w:rPr>
            </w:pPr>
          </w:p>
        </w:tc>
        <w:tc>
          <w:tcPr>
            <w:tcW w:w="1312" w:type="dxa"/>
            <w:shd w:val="clear" w:color="auto" w:fill="FFFFFF"/>
            <w:noWrap/>
            <w:vAlign w:val="center"/>
          </w:tcPr>
          <w:p>
            <w:pPr>
              <w:widowControl/>
              <w:jc w:val="center"/>
              <w:rPr>
                <w:rFonts w:ascii="宋体" w:hAnsi="宋体" w:cs="宋体"/>
                <w:kern w:val="0"/>
                <w:sz w:val="20"/>
              </w:rPr>
            </w:pP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（三十）抗疫特别国债安排的支出</w:t>
            </w:r>
          </w:p>
        </w:tc>
        <w:tc>
          <w:tcPr>
            <w:tcW w:w="1267" w:type="dxa"/>
            <w:shd w:val="clear" w:color="auto" w:fill="FFFFFF"/>
            <w:noWrap/>
            <w:vAlign w:val="center"/>
          </w:tcPr>
          <w:p>
            <w:pPr>
              <w:widowControl/>
              <w:jc w:val="center"/>
              <w:rPr>
                <w:rFonts w:ascii="宋体" w:hAnsi="宋体" w:cs="宋体"/>
                <w:kern w:val="0"/>
                <w:sz w:val="20"/>
              </w:rPr>
            </w:pPr>
          </w:p>
        </w:tc>
        <w:tc>
          <w:tcPr>
            <w:tcW w:w="1312" w:type="dxa"/>
            <w:shd w:val="clear" w:color="auto" w:fill="FFFFFF"/>
            <w:noWrap/>
            <w:vAlign w:val="center"/>
          </w:tcPr>
          <w:p>
            <w:pPr>
              <w:widowControl/>
              <w:jc w:val="center"/>
              <w:rPr>
                <w:rFonts w:ascii="宋体" w:hAnsi="宋体" w:cs="宋体"/>
                <w:kern w:val="0"/>
                <w:sz w:val="20"/>
              </w:rPr>
            </w:pP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（三十一）往来性支出</w:t>
            </w:r>
          </w:p>
        </w:tc>
        <w:tc>
          <w:tcPr>
            <w:tcW w:w="1267" w:type="dxa"/>
            <w:shd w:val="clear" w:color="auto" w:fill="FFFFFF"/>
            <w:noWrap/>
            <w:vAlign w:val="center"/>
          </w:tcPr>
          <w:p>
            <w:pPr>
              <w:widowControl/>
              <w:jc w:val="center"/>
              <w:rPr>
                <w:rFonts w:ascii="宋体" w:hAnsi="宋体" w:cs="宋体"/>
                <w:kern w:val="0"/>
                <w:sz w:val="20"/>
              </w:rPr>
            </w:pPr>
          </w:p>
        </w:tc>
        <w:tc>
          <w:tcPr>
            <w:tcW w:w="1312" w:type="dxa"/>
            <w:shd w:val="clear" w:color="auto" w:fill="FFFFFF"/>
            <w:noWrap/>
            <w:vAlign w:val="center"/>
          </w:tcPr>
          <w:p>
            <w:pPr>
              <w:widowControl/>
              <w:jc w:val="center"/>
              <w:rPr>
                <w:rFonts w:ascii="宋体" w:hAnsi="宋体" w:cs="宋体"/>
                <w:kern w:val="0"/>
                <w:sz w:val="20"/>
              </w:rPr>
            </w:pP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二、上年结转</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二、结转下年</w:t>
            </w:r>
          </w:p>
        </w:tc>
        <w:tc>
          <w:tcPr>
            <w:tcW w:w="1267" w:type="dxa"/>
            <w:shd w:val="clear" w:color="auto" w:fill="FFFFFF"/>
            <w:noWrap/>
            <w:vAlign w:val="center"/>
          </w:tcPr>
          <w:p>
            <w:pPr>
              <w:widowControl/>
              <w:jc w:val="center"/>
              <w:rPr>
                <w:rFonts w:ascii="宋体" w:hAnsi="宋体" w:cs="宋体"/>
                <w:kern w:val="0"/>
                <w:sz w:val="20"/>
              </w:rPr>
            </w:pPr>
          </w:p>
        </w:tc>
        <w:tc>
          <w:tcPr>
            <w:tcW w:w="1312" w:type="dxa"/>
            <w:shd w:val="clear" w:color="auto" w:fill="FFFFFF"/>
            <w:noWrap/>
            <w:vAlign w:val="center"/>
          </w:tcPr>
          <w:p>
            <w:pPr>
              <w:widowControl/>
              <w:jc w:val="center"/>
              <w:rPr>
                <w:rFonts w:ascii="宋体" w:hAnsi="宋体" w:cs="宋体"/>
                <w:kern w:val="0"/>
                <w:sz w:val="20"/>
              </w:rPr>
            </w:pP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（一）一般公共预算拨款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67" w:type="dxa"/>
            <w:shd w:val="clear" w:color="auto" w:fill="FFFFFF"/>
            <w:noWrap/>
            <w:vAlign w:val="center"/>
          </w:tcPr>
          <w:p>
            <w:pPr>
              <w:widowControl/>
              <w:jc w:val="center"/>
              <w:rPr>
                <w:rFonts w:ascii="宋体" w:hAnsi="宋体" w:cs="宋体"/>
                <w:kern w:val="0"/>
                <w:sz w:val="20"/>
              </w:rPr>
            </w:pPr>
          </w:p>
        </w:tc>
        <w:tc>
          <w:tcPr>
            <w:tcW w:w="1312" w:type="dxa"/>
            <w:shd w:val="clear" w:color="auto" w:fill="FFFFFF"/>
            <w:noWrap/>
            <w:vAlign w:val="center"/>
          </w:tcPr>
          <w:p>
            <w:pPr>
              <w:widowControl/>
              <w:jc w:val="center"/>
              <w:rPr>
                <w:rFonts w:ascii="宋体" w:hAnsi="宋体" w:cs="宋体"/>
                <w:kern w:val="0"/>
                <w:sz w:val="20"/>
              </w:rPr>
            </w:pP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267" w:type="dxa"/>
            <w:shd w:val="clear" w:color="auto" w:fill="FFFFFF"/>
            <w:noWrap/>
            <w:vAlign w:val="center"/>
          </w:tcPr>
          <w:p>
            <w:pPr>
              <w:widowControl/>
              <w:jc w:val="center"/>
              <w:rPr>
                <w:rFonts w:ascii="宋体" w:hAnsi="宋体" w:cs="宋体"/>
                <w:kern w:val="0"/>
                <w:sz w:val="20"/>
              </w:rPr>
            </w:pPr>
          </w:p>
        </w:tc>
        <w:tc>
          <w:tcPr>
            <w:tcW w:w="1312" w:type="dxa"/>
            <w:shd w:val="clear" w:color="auto" w:fill="FFFFFF"/>
            <w:noWrap/>
            <w:vAlign w:val="center"/>
          </w:tcPr>
          <w:p>
            <w:pPr>
              <w:widowControl/>
              <w:jc w:val="center"/>
              <w:rPr>
                <w:rFonts w:ascii="宋体" w:hAnsi="宋体" w:cs="宋体"/>
                <w:kern w:val="0"/>
                <w:sz w:val="20"/>
              </w:rPr>
            </w:pPr>
          </w:p>
        </w:tc>
        <w:tc>
          <w:tcPr>
            <w:tcW w:w="1340" w:type="dxa"/>
            <w:shd w:val="clear" w:color="auto" w:fill="FFFFFF"/>
            <w:noWrap/>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8"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75.19</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rPr>
              <w:t>支出总计</w:t>
            </w:r>
          </w:p>
        </w:tc>
        <w:tc>
          <w:tcPr>
            <w:tcW w:w="1267"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75.19</w:t>
            </w:r>
          </w:p>
        </w:tc>
        <w:tc>
          <w:tcPr>
            <w:tcW w:w="1312"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75.19</w:t>
            </w:r>
          </w:p>
        </w:tc>
        <w:tc>
          <w:tcPr>
            <w:tcW w:w="1340" w:type="dxa"/>
            <w:shd w:val="clear" w:color="auto" w:fill="FFFFFF"/>
            <w:noWrap/>
            <w:vAlign w:val="center"/>
          </w:tcPr>
          <w:p>
            <w:pPr>
              <w:widowControl/>
              <w:jc w:val="center"/>
              <w:rPr>
                <w:rFonts w:ascii="宋体" w:hAnsi="宋体" w:cs="宋体"/>
                <w:kern w:val="0"/>
                <w:sz w:val="20"/>
              </w:rPr>
            </w:pPr>
          </w:p>
        </w:tc>
      </w:tr>
    </w:tbl>
    <w:p>
      <w:r>
        <w:br w:type="page"/>
      </w:r>
    </w:p>
    <w:tbl>
      <w:tblPr>
        <w:tblStyle w:val="6"/>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94"/>
        <w:gridCol w:w="1422"/>
        <w:gridCol w:w="1422"/>
        <w:gridCol w:w="1422"/>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43"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6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9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2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2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2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4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4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14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43"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75.19</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75.19</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社会保障和就业支出　</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10.10</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10.10</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行政事业单位养老支出　</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9.52</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9.52</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w:t>
            </w:r>
          </w:p>
        </w:tc>
        <w:tc>
          <w:tcPr>
            <w:tcW w:w="369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机关事业单位基本养老保险缴费支出　</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6.34</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6.34</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06</w:t>
            </w:r>
          </w:p>
        </w:tc>
        <w:tc>
          <w:tcPr>
            <w:tcW w:w="369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机关事业单位职业年金缴费支出　</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3.17</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3.17</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0.58</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0.58</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99</w:t>
            </w:r>
          </w:p>
        </w:tc>
        <w:tc>
          <w:tcPr>
            <w:tcW w:w="369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其他社会保障和就业支出　</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0.58</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0.58</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卫生健康支出　</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8.77</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8.77</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行政事业单位医疗　</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8.77</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8.77</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369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事业单位医疗　</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5.86</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5.86</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03</w:t>
            </w:r>
          </w:p>
        </w:tc>
        <w:tc>
          <w:tcPr>
            <w:tcW w:w="369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公务员医疗补助　</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2.90</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2.90</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农林水支出　</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50.61</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50.61</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林业和草原　</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50.61</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50.61</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04</w:t>
            </w:r>
          </w:p>
        </w:tc>
        <w:tc>
          <w:tcPr>
            <w:tcW w:w="369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事业机构　</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50.61</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50.61</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住房保障支出　</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5.71</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5.71</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9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住房改革支出　</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5.71</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5.71</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01</w:t>
            </w:r>
          </w:p>
        </w:tc>
        <w:tc>
          <w:tcPr>
            <w:tcW w:w="369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rPr>
            </w:pPr>
            <w:r>
              <w:rPr>
                <w:rFonts w:hint="eastAsia" w:ascii="宋体" w:hAnsi="宋体" w:cs="宋体"/>
                <w:kern w:val="0"/>
                <w:sz w:val="20"/>
              </w:rPr>
              <w:t>住房公积金　</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5.71</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5.71</w:t>
            </w:r>
          </w:p>
        </w:tc>
        <w:tc>
          <w:tcPr>
            <w:tcW w:w="142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rPr>
          <w:rFonts w:ascii="仿宋_GB2312" w:eastAsia="仿宋_GB2312"/>
          <w:sz w:val="32"/>
          <w:szCs w:val="32"/>
        </w:rPr>
      </w:pPr>
      <w:r>
        <w:rPr>
          <w:rFonts w:hint="eastAsia" w:ascii="仿宋_GB2312" w:eastAsia="仿宋_GB2312"/>
          <w:sz w:val="32"/>
          <w:szCs w:val="32"/>
        </w:rPr>
        <w:br w:type="page"/>
      </w:r>
    </w:p>
    <w:tbl>
      <w:tblPr>
        <w:tblStyle w:val="6"/>
        <w:tblW w:w="11245" w:type="dxa"/>
        <w:jc w:val="center"/>
        <w:tblLayout w:type="fixed"/>
        <w:tblCellMar>
          <w:top w:w="0" w:type="dxa"/>
          <w:left w:w="108" w:type="dxa"/>
          <w:bottom w:w="0" w:type="dxa"/>
          <w:right w:w="108" w:type="dxa"/>
        </w:tblCellMar>
      </w:tblPr>
      <w:tblGrid>
        <w:gridCol w:w="650"/>
        <w:gridCol w:w="650"/>
        <w:gridCol w:w="3006"/>
        <w:gridCol w:w="2313"/>
        <w:gridCol w:w="2313"/>
        <w:gridCol w:w="2313"/>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部门公开表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306"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93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2023年基本支出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00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30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3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3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23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306" w:type="dxa"/>
            <w:gridSpan w:val="3"/>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75.19</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73.50</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1.69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301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工资福利支出</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70.00</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70.00</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基本工资</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16.36</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16.36</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津贴补贴</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12.71</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12.71</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绩效工资</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19.85</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19.85</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机关事业单位基本养老保险缴费</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6.34</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6.34</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职业年金缴费</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3.17</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3.17</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职工基本医疗保险缴费</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2.36</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2.36</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公务员医疗补助缴费</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2.90</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2.90</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其他社会保障缴费</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0.58</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0.58</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住房公积金</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5.71</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5.71</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302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商品和服务支出</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1.69</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1.69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办公费</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0.09</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0.09</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水费</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0.06</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0.06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电费</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0.06</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0.06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邮电费</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0.15</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取暖费</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0.30</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0.30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差旅费</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0.12</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公务接待费</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0.06</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0.06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工会经费</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0.73</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其他商品和服务支出</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0.12</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0.12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303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对个人和家庭的补助</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3.50</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3.50</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006"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left"/>
              <w:rPr>
                <w:rFonts w:ascii="宋体" w:hAnsi="宋体" w:cs="宋体"/>
                <w:kern w:val="0"/>
                <w:sz w:val="18"/>
                <w:szCs w:val="18"/>
              </w:rPr>
            </w:pPr>
            <w:r>
              <w:rPr>
                <w:rFonts w:hint="eastAsia" w:ascii="宋体" w:hAnsi="宋体" w:cs="宋体"/>
                <w:kern w:val="0"/>
                <w:sz w:val="18"/>
                <w:szCs w:val="18"/>
              </w:rPr>
              <w:t>医疗费补助</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3.50</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r>
              <w:rPr>
                <w:rFonts w:hint="eastAsia" w:ascii="宋体" w:hAnsi="宋体" w:cs="宋体"/>
                <w:kern w:val="0"/>
                <w:sz w:val="18"/>
                <w:szCs w:val="18"/>
              </w:rPr>
              <w:t>3.50</w:t>
            </w:r>
          </w:p>
        </w:tc>
        <w:tc>
          <w:tcPr>
            <w:tcW w:w="2313" w:type="dxa"/>
            <w:tcBorders>
              <w:top w:val="single" w:color="auto" w:sz="4" w:space="0"/>
              <w:left w:val="single" w:color="auto" w:sz="4" w:space="0"/>
              <w:bottom w:val="single" w:color="auto" w:sz="4" w:space="0"/>
              <w:right w:val="single" w:color="auto" w:sz="4" w:space="0"/>
            </w:tcBorders>
            <w:shd w:val="clear" w:color="000000" w:fill="FFFFFF"/>
            <w:vAlign w:val="bottom"/>
          </w:tcPr>
          <w:p>
            <w:pPr>
              <w:widowControl/>
              <w:jc w:val="center"/>
              <w:rPr>
                <w:rFonts w:ascii="宋体" w:hAnsi="宋体" w:cs="宋体"/>
                <w:kern w:val="0"/>
                <w:sz w:val="18"/>
                <w:szCs w:val="18"/>
              </w:rPr>
            </w:pPr>
          </w:p>
        </w:tc>
      </w:tr>
    </w:tbl>
    <w:p>
      <w:pPr>
        <w:rPr>
          <w:rFonts w:ascii="仿宋_GB2312" w:eastAsia="仿宋_GB2312"/>
          <w:sz w:val="10"/>
          <w:szCs w:val="32"/>
        </w:rPr>
      </w:pPr>
      <w:r>
        <w:rPr>
          <w:rFonts w:hint="eastAsia" w:ascii="仿宋_GB2312" w:eastAsia="仿宋_GB2312"/>
          <w:sz w:val="10"/>
          <w:szCs w:val="32"/>
        </w:rPr>
        <w:br w:type="page"/>
      </w:r>
    </w:p>
    <w:tbl>
      <w:tblPr>
        <w:tblStyle w:val="6"/>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62"/>
            <w:bookmarkEnd w:id="1"/>
            <w:bookmarkStart w:id="2" w:name="RANGE!A1:F15"/>
            <w:bookmarkEnd w:id="2"/>
            <w:bookmarkStart w:id="3" w:name="RANGE!A1:G6"/>
            <w:bookmarkEnd w:id="3"/>
            <w:r>
              <w:rPr>
                <w:rFonts w:hint="eastAsia" w:ascii="宋体" w:hAnsi="宋体" w:cs="宋体"/>
                <w:b/>
                <w:kern w:val="0"/>
                <w:sz w:val="18"/>
                <w:szCs w:val="18"/>
              </w:rPr>
              <w:t>部门公开表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2023年预算数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Merge w:val="continue"/>
            <w:vAlign w:val="center"/>
          </w:tcPr>
          <w:p>
            <w:pPr>
              <w:widowControl/>
              <w:jc w:val="left"/>
              <w:rPr>
                <w:rFonts w:ascii="宋体" w:hAnsi="宋体" w:cs="宋体"/>
                <w:b/>
                <w:bCs/>
                <w:color w:val="000000"/>
                <w:kern w:val="0"/>
                <w:sz w:val="22"/>
                <w:szCs w:val="22"/>
              </w:rPr>
            </w:pP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0.06</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0.06</w:t>
            </w:r>
          </w:p>
        </w:tc>
        <w:tc>
          <w:tcPr>
            <w:tcW w:w="965"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0.06</w:t>
            </w: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65" w:type="dxa"/>
            <w:shd w:val="clear" w:color="000000" w:fill="FFFFFF"/>
            <w:noWrap/>
            <w:vAlign w:val="center"/>
          </w:tcPr>
          <w:p>
            <w:pPr>
              <w:widowControl/>
              <w:jc w:val="center"/>
              <w:rPr>
                <w:rFonts w:ascii="宋体" w:hAnsi="宋体" w:cs="宋体"/>
                <w:color w:val="000000"/>
                <w:kern w:val="0"/>
                <w:sz w:val="22"/>
                <w:szCs w:val="22"/>
              </w:rPr>
            </w:pPr>
          </w:p>
        </w:tc>
        <w:tc>
          <w:tcPr>
            <w:tcW w:w="972" w:type="dxa"/>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0.06</w:t>
            </w:r>
          </w:p>
        </w:tc>
      </w:tr>
    </w:tbl>
    <w:p>
      <w:pPr>
        <w:rPr>
          <w:rFonts w:ascii="仿宋_GB2312" w:eastAsia="仿宋_GB2312"/>
          <w:sz w:val="32"/>
          <w:szCs w:val="32"/>
        </w:rPr>
      </w:pPr>
      <w:r>
        <w:rPr>
          <w:rFonts w:hint="eastAsia" w:ascii="仿宋_GB2312" w:eastAsia="仿宋_GB2312"/>
          <w:sz w:val="32"/>
          <w:szCs w:val="32"/>
        </w:rPr>
        <w:br w:type="page"/>
      </w:r>
    </w:p>
    <w:tbl>
      <w:tblPr>
        <w:tblStyle w:val="6"/>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ascii="宋体" w:hAnsi="宋体" w:cs="宋体"/>
                <w:b/>
                <w:bCs/>
                <w:kern w:val="0"/>
                <w:sz w:val="44"/>
                <w:szCs w:val="44"/>
              </w:rPr>
            </w:pPr>
            <w:r>
              <w:rPr>
                <w:rFonts w:hint="eastAsia" w:ascii="宋体" w:hAnsi="宋体" w:cs="宋体"/>
                <w:b/>
                <w:kern w:val="0"/>
                <w:sz w:val="18"/>
                <w:szCs w:val="18"/>
              </w:rPr>
              <w:t>部门公开表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2023年预算数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ascii="仿宋_GB2312" w:eastAsia="仿宋_GB2312"/>
          <w:sz w:val="32"/>
          <w:szCs w:val="32"/>
        </w:rPr>
      </w:pPr>
      <w:r>
        <w:rPr>
          <w:rFonts w:hint="eastAsia" w:ascii="仿宋_GB2312" w:eastAsia="仿宋_GB2312"/>
          <w:sz w:val="32"/>
          <w:szCs w:val="32"/>
        </w:rPr>
        <w:t>（注：此表为空表）</w:t>
      </w:r>
    </w:p>
    <w:p>
      <w:pPr>
        <w:rPr>
          <w:rFonts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ascii="小标宋" w:eastAsia="小标宋"/>
          <w:b/>
          <w:color w:val="000000"/>
          <w:sz w:val="36"/>
          <w:szCs w:val="36"/>
        </w:rPr>
      </w:pPr>
      <w:bookmarkStart w:id="5" w:name="RANGE!A1:K13"/>
      <w:bookmarkEnd w:id="5"/>
      <w:r>
        <w:rPr>
          <w:rFonts w:hint="eastAsia" w:ascii="小标宋" w:eastAsia="小标宋"/>
          <w:b/>
          <w:color w:val="000000"/>
          <w:sz w:val="36"/>
          <w:szCs w:val="36"/>
        </w:rPr>
        <w:t>第三部分  部门预算情况说明</w:t>
      </w:r>
    </w:p>
    <w:p>
      <w:pPr>
        <w:ind w:firstLine="640" w:firstLineChars="200"/>
        <w:rPr>
          <w:rFonts w:ascii="黑体" w:hAnsi="宋体" w:eastAsia="黑体"/>
          <w:color w:val="000000"/>
          <w:sz w:val="32"/>
          <w:szCs w:val="32"/>
        </w:rPr>
      </w:pP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一、关于湟源县野生动物保护站2023年部门收支预算情况的总体说明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湟源县野生动物保护站所有收入和支出均纳入部门预算管理。收入包括：一般公共预算拨款收入75.19万元；支出包括：社会保障和就业支出10.10万元，卫生健康支出8.77万元，农林水支出50.61万元，住房保障支出5.71万元。湟源县野生动物保护站2023年收支总预算75.19万元</w:t>
      </w:r>
      <w:r>
        <w:rPr>
          <w:rFonts w:ascii="仿宋_GB2312" w:eastAsia="仿宋_GB2312"/>
          <w:sz w:val="32"/>
          <w:szCs w:val="32"/>
        </w:rPr>
        <w:t>。</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二、关于湟源县野生动物保护站2023年部门收入预算情况说明</w:t>
      </w:r>
    </w:p>
    <w:p>
      <w:pPr>
        <w:ind w:firstLine="640" w:firstLineChars="200"/>
        <w:rPr>
          <w:rFonts w:ascii="仿宋_GB2312" w:eastAsia="仿宋_GB2312"/>
          <w:sz w:val="32"/>
          <w:szCs w:val="32"/>
        </w:rPr>
      </w:pPr>
      <w:r>
        <w:rPr>
          <w:rFonts w:hint="eastAsia" w:ascii="仿宋_GB2312" w:eastAsia="仿宋_GB2312"/>
          <w:sz w:val="32"/>
          <w:szCs w:val="32"/>
        </w:rPr>
        <w:t>湟源县野生动物保护站2023年收入预算75.19万元，其中：一般公共预算拨款收入75.19万元，占100.00%。</w:t>
      </w:r>
    </w:p>
    <w:p>
      <w:pPr>
        <w:ind w:firstLine="640" w:firstLineChars="200"/>
        <w:rPr>
          <w:rFonts w:ascii="仿宋_GB2312" w:eastAsia="仿宋_GB2312"/>
          <w:sz w:val="32"/>
          <w:szCs w:val="32"/>
        </w:rPr>
      </w:pPr>
      <w:r>
        <w:rPr>
          <w:rFonts w:ascii="仿宋_GB2312" w:eastAsia="仿宋_GB2312"/>
          <w:sz w:val="32"/>
          <w:szCs w:val="32"/>
        </w:rPr>
        <w:pict>
          <v:shape id="_x0000_i1025" o:spt="75" type="#_x0000_t75" style="height:156.5pt;width:340.6pt;" filled="f" o:preferrelative="t" stroked="f" coordsize="21600,21600">
            <v:path/>
            <v:fill on="f" focussize="0,0"/>
            <v:stroke on="f" joinstyle="miter"/>
            <v:imagedata r:id="rId7" o:title=""/>
            <o:lock v:ext="edit" aspectratio="t"/>
            <w10:wrap type="none"/>
            <w10:anchorlock/>
          </v:shape>
        </w:pic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三、关于湟源县野生动物保护站2023年部门支出预算情况说明</w:t>
      </w:r>
    </w:p>
    <w:p>
      <w:pPr>
        <w:ind w:firstLine="645"/>
        <w:rPr>
          <w:rFonts w:ascii="仿宋_GB2312" w:eastAsia="仿宋_GB2312"/>
          <w:sz w:val="32"/>
          <w:szCs w:val="32"/>
        </w:rPr>
      </w:pPr>
      <w:r>
        <w:rPr>
          <w:rFonts w:hint="eastAsia" w:ascii="仿宋_GB2312" w:eastAsia="仿宋_GB2312"/>
          <w:sz w:val="32"/>
          <w:szCs w:val="32"/>
        </w:rPr>
        <w:t>湟源县野生动物保护站2023年支出预算75.19万元，其中：基本支出75.19万元，占100.00%。</w:t>
      </w:r>
    </w:p>
    <w:p>
      <w:pPr>
        <w:ind w:firstLine="645"/>
        <w:rPr>
          <w:rFonts w:ascii="仿宋_GB2312" w:eastAsia="仿宋_GB2312"/>
          <w:sz w:val="32"/>
          <w:szCs w:val="32"/>
        </w:rPr>
      </w:pPr>
      <w:r>
        <w:rPr>
          <w:rFonts w:ascii="仿宋_GB2312" w:eastAsia="仿宋_GB2312"/>
          <w:sz w:val="32"/>
          <w:szCs w:val="32"/>
        </w:rPr>
        <w:pict>
          <v:shape id="_x0000_i1026" o:spt="75" type="#_x0000_t75" style="height:156.5pt;width:340.6pt;" filled="f" o:preferrelative="t" stroked="f" coordsize="21600,21600">
            <v:path/>
            <v:fill on="f" focussize="0,0"/>
            <v:stroke on="f" joinstyle="miter"/>
            <v:imagedata r:id="rId8" o:title=""/>
            <o:lock v:ext="edit" aspectratio="t"/>
            <w10:wrap type="none"/>
            <w10:anchorlock/>
          </v:shape>
        </w:pic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四、关于湟源县野生动物保护站2023年财政拨款收支预算情况的总体说明</w:t>
      </w:r>
    </w:p>
    <w:p>
      <w:pPr>
        <w:ind w:firstLine="645"/>
        <w:rPr>
          <w:rFonts w:ascii="仿宋_GB2312" w:eastAsia="仿宋_GB2312"/>
          <w:sz w:val="32"/>
          <w:szCs w:val="32"/>
        </w:rPr>
      </w:pPr>
      <w:r>
        <w:rPr>
          <w:rFonts w:hint="eastAsia" w:ascii="仿宋_GB2312" w:eastAsia="仿宋_GB2312"/>
          <w:sz w:val="32"/>
          <w:szCs w:val="32"/>
        </w:rPr>
        <w:t>湟源县野生动物保护站2023年财政拨款收支总预算75.19万元，比上年增加8.67万元，主要是人员经费增加。收入包括：一般公共预算拨款收入75.19万元，上年结转0.00万元；政府性基金预算拨款收入0.00万元，上年结转0.00万元。支出包括： 社会保障和就业支出10.10万元， 卫生健康支出8.77万元， 农林水支出50.61万元， 住房保障支出5.71万元。</w:t>
      </w:r>
    </w:p>
    <w:p>
      <w:pPr>
        <w:ind w:firstLine="645"/>
        <w:rPr>
          <w:rFonts w:ascii="仿宋_GB2312" w:eastAsia="仿宋_GB2312"/>
          <w:sz w:val="32"/>
          <w:szCs w:val="32"/>
        </w:rPr>
      </w:pPr>
      <w:r>
        <w:rPr>
          <w:rFonts w:ascii="仿宋_GB2312" w:eastAsia="仿宋_GB2312"/>
          <w:sz w:val="32"/>
          <w:szCs w:val="32"/>
        </w:rPr>
        <w:pict>
          <v:shape id="_x0000_i1027" o:spt="75" type="#_x0000_t75" style="height:152.75pt;width:331.2pt;" filled="f" o:preferrelative="t" stroked="f" coordsize="21600,21600">
            <v:path/>
            <v:fill on="f" focussize="0,0"/>
            <v:stroke on="f" joinstyle="miter"/>
            <v:imagedata r:id="rId9" o:title=""/>
            <o:lock v:ext="edit" aspectratio="t"/>
            <w10:wrap type="none"/>
            <w10:anchorlock/>
          </v:shape>
        </w:pic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五、关于湟源县野生动物保护站2023年一般公共预算当年拨款情况说明</w:t>
      </w:r>
    </w:p>
    <w:p>
      <w:pPr>
        <w:ind w:firstLine="645"/>
        <w:rPr>
          <w:rFonts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ascii="仿宋_GB2312" w:eastAsia="仿宋_GB2312"/>
          <w:iCs/>
          <w:sz w:val="32"/>
          <w:szCs w:val="32"/>
        </w:rPr>
      </w:pPr>
      <w:r>
        <w:rPr>
          <w:rFonts w:hint="eastAsia" w:ascii="仿宋_GB2312" w:eastAsia="仿宋_GB2312"/>
          <w:sz w:val="32"/>
          <w:szCs w:val="32"/>
        </w:rPr>
        <w:t>湟源县野生动物保护站2023年一般公共预算当年拨款75.19万元,比上年增加8.67万元，主要是人员经费增加</w:t>
      </w:r>
      <w:r>
        <w:rPr>
          <w:rFonts w:hint="eastAsia" w:ascii="仿宋_GB2312" w:eastAsia="仿宋_GB2312"/>
          <w:iCs/>
          <w:sz w:val="32"/>
          <w:szCs w:val="32"/>
        </w:rPr>
        <w:t>。</w:t>
      </w:r>
    </w:p>
    <w:p>
      <w:pPr>
        <w:ind w:firstLine="645"/>
        <w:rPr>
          <w:rFonts w:ascii="仿宋_GB2312" w:eastAsia="仿宋_GB2312"/>
          <w:iCs/>
          <w:sz w:val="32"/>
          <w:szCs w:val="32"/>
        </w:rPr>
      </w:pPr>
      <w:r>
        <w:rPr>
          <w:rFonts w:ascii="仿宋_GB2312" w:eastAsia="仿宋_GB2312"/>
          <w:iCs/>
          <w:sz w:val="32"/>
          <w:szCs w:val="32"/>
        </w:rPr>
        <w:pict>
          <v:shape id="_x0000_i1028" o:spt="75" type="#_x0000_t75" style="height:115.85pt;width:337.45pt;" filled="f" o:preferrelative="t" stroked="f" coordsize="21600,21600">
            <v:path/>
            <v:fill on="f" focussize="0,0"/>
            <v:stroke on="f" joinstyle="miter"/>
            <v:imagedata r:id="rId10" o:title=""/>
            <o:lock v:ext="edit" aspectratio="t"/>
            <w10:wrap type="none"/>
            <w10:anchorlock/>
          </v:shape>
        </w:pict>
      </w:r>
    </w:p>
    <w:p>
      <w:pPr>
        <w:ind w:firstLine="645"/>
        <w:rPr>
          <w:rFonts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ascii="仿宋_GB2312" w:eastAsia="仿宋_GB2312"/>
          <w:sz w:val="32"/>
          <w:szCs w:val="32"/>
        </w:rPr>
      </w:pPr>
      <w:r>
        <w:rPr>
          <w:rFonts w:hint="eastAsia" w:ascii="仿宋_GB2312" w:eastAsia="仿宋_GB2312"/>
          <w:sz w:val="32"/>
          <w:szCs w:val="32"/>
        </w:rPr>
        <w:t>社会保障和就业支出10.10万元，占13.43%；卫生健康支出8.77万元，占11.66%；农林水支出50.61万元，占67.31%；住房保障支出5.71万元，占7.59%。</w:t>
      </w:r>
    </w:p>
    <w:p>
      <w:pPr>
        <w:ind w:firstLine="645"/>
        <w:rPr>
          <w:rFonts w:ascii="仿宋_GB2312" w:eastAsia="仿宋_GB2312"/>
          <w:sz w:val="32"/>
          <w:szCs w:val="32"/>
        </w:rPr>
      </w:pPr>
      <w:r>
        <w:rPr>
          <w:rFonts w:ascii="仿宋_GB2312" w:eastAsia="仿宋_GB2312"/>
          <w:sz w:val="32"/>
          <w:szCs w:val="32"/>
        </w:rPr>
        <w:pict>
          <v:shape id="_x0000_i1029" o:spt="75" type="#_x0000_t75" style="height:151.5pt;width:329.3pt;" filled="f" o:preferrelative="t" stroked="f" coordsize="21600,21600">
            <v:path/>
            <v:fill on="f" focussize="0,0"/>
            <v:stroke on="f" joinstyle="miter"/>
            <v:imagedata r:id="rId11" o:title=""/>
            <o:lock v:ext="edit" aspectratio="t"/>
            <w10:wrap type="none"/>
            <w10:anchorlock/>
          </v:shape>
        </w:pict>
      </w:r>
    </w:p>
    <w:p>
      <w:pPr>
        <w:ind w:firstLine="645"/>
        <w:rPr>
          <w:rFonts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ascii="仿宋_GB2312" w:eastAsia="仿宋_GB2312"/>
          <w:sz w:val="32"/>
          <w:szCs w:val="32"/>
        </w:rPr>
      </w:pPr>
      <w:r>
        <w:rPr>
          <w:rFonts w:hint="eastAsia" w:ascii="仿宋_GB2312" w:eastAsia="仿宋_GB2312"/>
          <w:sz w:val="32"/>
          <w:szCs w:val="32"/>
        </w:rPr>
        <w:t>1、社会保障和就业支出（类）行政事业单位养老支出（款）机关事业单位基本养老保险缴费支出（项）2023年预算数为6.34万元，比上年增加1.65万元，增长35.18%。主要是养老缴费增加。</w:t>
      </w:r>
    </w:p>
    <w:p>
      <w:pPr>
        <w:ind w:firstLine="645"/>
        <w:rPr>
          <w:rFonts w:ascii="仿宋_GB2312" w:eastAsia="仿宋_GB2312"/>
          <w:sz w:val="32"/>
          <w:szCs w:val="32"/>
        </w:rPr>
      </w:pPr>
      <w:r>
        <w:rPr>
          <w:rFonts w:hint="eastAsia" w:ascii="仿宋_GB2312" w:eastAsia="仿宋_GB2312"/>
          <w:sz w:val="32"/>
          <w:szCs w:val="32"/>
        </w:rPr>
        <w:t>2、社会保障和就业支出（类）行政事业单位养老支出（款）机关事业单位职业年金缴费支出（项）2023年预算数为3.17万元，比上年增加0.82万元，增长34.89%。主要是职业年金缴费增加。</w:t>
      </w:r>
    </w:p>
    <w:p>
      <w:pPr>
        <w:ind w:firstLine="645"/>
        <w:rPr>
          <w:rFonts w:ascii="仿宋_GB2312" w:eastAsia="仿宋_GB2312"/>
          <w:sz w:val="32"/>
          <w:szCs w:val="32"/>
        </w:rPr>
      </w:pPr>
      <w:r>
        <w:rPr>
          <w:rFonts w:hint="eastAsia" w:ascii="仿宋_GB2312" w:eastAsia="仿宋_GB2312"/>
          <w:sz w:val="32"/>
          <w:szCs w:val="32"/>
        </w:rPr>
        <w:t>3、社会保障和就业支出（类）其他社会保障和就业支出（款）其他社会保障和就业支出（项）2023年预算数为0.58万元，较上年无变动。</w:t>
      </w:r>
    </w:p>
    <w:p>
      <w:pPr>
        <w:ind w:firstLine="645"/>
        <w:rPr>
          <w:rFonts w:ascii="仿宋_GB2312" w:eastAsia="仿宋_GB2312"/>
          <w:sz w:val="32"/>
          <w:szCs w:val="32"/>
        </w:rPr>
      </w:pPr>
      <w:r>
        <w:rPr>
          <w:rFonts w:hint="eastAsia" w:ascii="仿宋_GB2312" w:eastAsia="仿宋_GB2312"/>
          <w:sz w:val="32"/>
          <w:szCs w:val="32"/>
        </w:rPr>
        <w:t>4、卫生健康支出（类）行政事业单位医疗（款）事业单位医疗（项）2023年预算数为5.86万元，比上年增加0.35万元，增长6.35%。主要是医疗缴费基数增加。</w:t>
      </w:r>
    </w:p>
    <w:p>
      <w:pPr>
        <w:ind w:firstLine="645"/>
        <w:rPr>
          <w:rFonts w:ascii="仿宋_GB2312" w:eastAsia="仿宋_GB2312"/>
          <w:sz w:val="32"/>
          <w:szCs w:val="32"/>
        </w:rPr>
      </w:pPr>
      <w:r>
        <w:rPr>
          <w:rFonts w:hint="eastAsia" w:ascii="仿宋_GB2312" w:eastAsia="仿宋_GB2312"/>
          <w:sz w:val="32"/>
          <w:szCs w:val="32"/>
        </w:rPr>
        <w:t>5、卫生健康支出（类）行政事业单位医疗（款）公务员医疗补助（项）2023年预算数为2.90万元，较上年缴费基数无变化。</w:t>
      </w:r>
    </w:p>
    <w:p>
      <w:pPr>
        <w:ind w:firstLine="645"/>
        <w:rPr>
          <w:rFonts w:ascii="仿宋_GB2312" w:eastAsia="仿宋_GB2312"/>
          <w:sz w:val="32"/>
          <w:szCs w:val="32"/>
        </w:rPr>
      </w:pPr>
      <w:r>
        <w:rPr>
          <w:rFonts w:hint="eastAsia" w:ascii="仿宋_GB2312" w:eastAsia="仿宋_GB2312"/>
          <w:sz w:val="32"/>
          <w:szCs w:val="32"/>
        </w:rPr>
        <w:t>6、农林水支出（类）林业和草原（款）事业机构（项）2023年预算数为50.61万元，比上年增加4.49万元，增长9.74%。主要是人员工资增加。</w:t>
      </w:r>
    </w:p>
    <w:p>
      <w:pPr>
        <w:ind w:firstLine="645"/>
        <w:rPr>
          <w:rFonts w:ascii="仿宋_GB2312" w:eastAsia="仿宋_GB2312"/>
          <w:sz w:val="32"/>
          <w:szCs w:val="32"/>
        </w:rPr>
      </w:pPr>
      <w:r>
        <w:rPr>
          <w:rFonts w:hint="eastAsia" w:ascii="仿宋_GB2312" w:eastAsia="仿宋_GB2312"/>
          <w:sz w:val="32"/>
          <w:szCs w:val="32"/>
        </w:rPr>
        <w:t>7、住房保障支出（类）住房改革支出（款）住房公积金（项）2023年预算数为5.71万元，比上年增加1.35万元，增长30.96%。主要是公积金缴费基数增加。</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rPr>
        <w:t>湟源县野生动物保护站2023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ascii="仿宋_GB2312" w:eastAsia="仿宋_GB2312"/>
          <w:sz w:val="32"/>
          <w:szCs w:val="32"/>
        </w:rPr>
      </w:pPr>
      <w:r>
        <w:rPr>
          <w:rFonts w:hint="eastAsia" w:ascii="仿宋_GB2312" w:eastAsia="仿宋_GB2312"/>
          <w:sz w:val="32"/>
          <w:szCs w:val="32"/>
        </w:rPr>
        <w:t>湟源县野生动物保护站2023年一般公共预算基本支出75.19万元，其中：</w:t>
      </w:r>
    </w:p>
    <w:p>
      <w:pPr>
        <w:ind w:firstLine="640" w:firstLineChars="200"/>
        <w:rPr>
          <w:rFonts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rPr>
        <w:t>73.50万元，主要包括：基本工资16.36万元、津贴补贴12.71万元、绩效工资19.85万元、机关事业单位基本养老保险缴费6.34万元、职业年金缴费3.17万元、职工基本医疗保险缴费2.36万元、公务员医疗补助缴费2.90万元、其他社会保障缴费0.58万元、住房公积金5.71万元、医疗费补助3.50万元；</w:t>
      </w:r>
    </w:p>
    <w:p>
      <w:pPr>
        <w:ind w:firstLine="640" w:firstLineChars="200"/>
        <w:rPr>
          <w:rFonts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rPr>
        <w:t>1.69万元，主要包括：办公费0.09万元、水费0.06万元、电费0.06万元、邮电费0.15万元、取暖费0.30万元、差旅费0.12万元、公务接待费0.06万元、工会经费0.73万元、其他商品和服务支出0.12万元。</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rPr>
        <w:t>湟源县野生动物保护站2023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ascii="仿宋_GB2312" w:eastAsia="仿宋_GB2312"/>
          <w:sz w:val="32"/>
          <w:szCs w:val="32"/>
        </w:rPr>
      </w:pPr>
      <w:r>
        <w:rPr>
          <w:rFonts w:hint="eastAsia" w:ascii="仿宋_GB2312" w:eastAsia="仿宋_GB2312"/>
          <w:sz w:val="32"/>
          <w:szCs w:val="32"/>
        </w:rPr>
        <w:t>湟源县野生动物保护站2023年一般公共预算“三公”经费预算数为0.06万元，比上年增加0.00万元，其中：因公出国（境）费0.00万元，增加0.00万元；公务用车购置及运行费0.00万元，增加0.00万元；公务接待费0.06万元，增加0.00万元。2023年“三公”经费预算</w:t>
      </w:r>
      <w:r>
        <w:rPr>
          <w:rFonts w:hint="eastAsia" w:ascii="仿宋_GB2312" w:eastAsia="仿宋_GB2312"/>
          <w:sz w:val="32"/>
          <w:szCs w:val="32"/>
          <w:lang w:val="en-US" w:eastAsia="zh-CN"/>
        </w:rPr>
        <w:t>与</w:t>
      </w:r>
      <w:r>
        <w:rPr>
          <w:rFonts w:hint="eastAsia" w:ascii="仿宋_GB2312" w:eastAsia="仿宋_GB2312"/>
          <w:sz w:val="32"/>
          <w:szCs w:val="32"/>
        </w:rPr>
        <w:t>上年无变动。</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rPr>
        <w:t>湟源县野生动物保护站2023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ascii="仿宋_GB2312" w:eastAsia="仿宋_GB2312"/>
          <w:sz w:val="32"/>
          <w:szCs w:val="32"/>
        </w:rPr>
      </w:pPr>
      <w:r>
        <w:rPr>
          <w:rFonts w:hint="eastAsia" w:ascii="仿宋_GB2312" w:eastAsia="仿宋_GB2312"/>
          <w:sz w:val="32"/>
          <w:szCs w:val="32"/>
        </w:rPr>
        <w:t>湟源县野生动物保护站2023年没有使用政府性基金预算拨款安排的支出。</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rPr>
        <w:t>2023年湟源县野生动物保护站机关运行经费财政拨款预算1.69万元，较</w:t>
      </w:r>
      <w:r>
        <w:rPr>
          <w:rFonts w:hint="eastAsia" w:ascii="仿宋_GB2312" w:eastAsia="仿宋_GB2312"/>
          <w:sz w:val="32"/>
          <w:szCs w:val="32"/>
        </w:rPr>
        <w:t>上</w:t>
      </w:r>
      <w:r>
        <w:rPr>
          <w:rFonts w:hint="eastAsia" w:ascii="仿宋_GB2312" w:hAnsi="仿宋" w:eastAsia="仿宋_GB2312"/>
          <w:spacing w:val="-6"/>
          <w:kern w:val="2"/>
          <w:sz w:val="32"/>
          <w:szCs w:val="32"/>
          <w:lang w:val="en-US"/>
        </w:rPr>
        <w:t>年无变动</w:t>
      </w:r>
      <w:r>
        <w:rPr>
          <w:rFonts w:hint="eastAsia" w:ascii="仿宋_GB2312" w:hAnsi="仿宋" w:eastAsia="仿宋_GB2312"/>
          <w:spacing w:val="-6"/>
          <w:kern w:val="2"/>
          <w:sz w:val="32"/>
          <w:szCs w:val="32"/>
          <w:lang w:val="en-US" w:eastAsia="zh-CN"/>
        </w:rPr>
        <w:t>。</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2023年湟源县野生动物保护站各单位政府采购预算总额0万元，其中：政府采购货物预算0万元、政</w:t>
      </w:r>
      <w:bookmarkStart w:id="6" w:name="_GoBack"/>
      <w:bookmarkEnd w:id="6"/>
      <w:r>
        <w:rPr>
          <w:rFonts w:hint="eastAsia" w:ascii="仿宋_GB2312" w:hAnsi="仿宋" w:eastAsia="仿宋_GB2312"/>
          <w:spacing w:val="-6"/>
          <w:kern w:val="2"/>
          <w:sz w:val="32"/>
          <w:szCs w:val="32"/>
          <w:lang w:val="en-US"/>
        </w:rPr>
        <w:t>府采购工程预算0万元、政府采购服务预算0万元。</w:t>
      </w:r>
    </w:p>
    <w:p>
      <w:pPr>
        <w:adjustRightInd w:val="0"/>
        <w:snapToGrid w:val="0"/>
        <w:spacing w:line="560" w:lineRule="exact"/>
        <w:ind w:firstLine="619" w:firstLineChars="200"/>
        <w:rPr>
          <w:rFonts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2月底，湟源县野生动物保护站所属各预算单位共有车辆0辆，其中，省级领导干部用车0辆、厅级领导干部用车0辆、一般公务用车0辆、一般执法执勤用车0辆、特种专业技术用车0辆、其他用车0辆。单价50万元以上通用设备0台（套），单价100万元以上专用设备0台（套）。</w:t>
      </w:r>
    </w:p>
    <w:p>
      <w:pPr>
        <w:adjustRightInd w:val="0"/>
        <w:snapToGrid w:val="0"/>
        <w:spacing w:line="560" w:lineRule="exact"/>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2023年湟源县野生动物保护站预算均实行绩效目标管理，涉及项目0个，预算金额0.00万元。</w:t>
      </w:r>
    </w:p>
    <w:p>
      <w:pPr>
        <w:ind w:firstLine="640" w:firstLineChars="200"/>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其中：一般公共预算拨款收入包括财政部门经费拨款、专项收入、行政事业性收费收入、罚没收入、国有资源（资产）有偿使用收入和其他收入。</w:t>
      </w:r>
    </w:p>
    <w:p>
      <w:pPr>
        <w:ind w:firstLine="640" w:firstLineChars="200"/>
        <w:rPr>
          <w:rFonts w:ascii="宋体" w:hAnsi="宋体"/>
          <w:b/>
          <w:sz w:val="32"/>
          <w:szCs w:val="32"/>
        </w:rPr>
      </w:pPr>
      <w:r>
        <w:rPr>
          <w:rFonts w:hint="eastAsia" w:ascii="黑体" w:hAnsi="宋体" w:eastAsia="黑体"/>
          <w:color w:val="000000"/>
          <w:sz w:val="32"/>
          <w:szCs w:val="32"/>
        </w:rPr>
        <w:t>二、支出类</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rPr>
        <w:t>部门</w:t>
      </w:r>
      <w:r>
        <w:rPr>
          <w:rFonts w:ascii="仿宋_GB2312" w:eastAsia="仿宋_GB2312"/>
          <w:sz w:val="32"/>
          <w:szCs w:val="32"/>
        </w:rPr>
        <w:t>按规定开支的各类公务接待（含外宾接待）支出。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（三）</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rPr>
        <w:t>部门</w:t>
      </w:r>
      <w:r>
        <w:rPr>
          <w:rFonts w:ascii="仿宋_GB2312" w:eastAsia="仿宋_GB2312"/>
          <w:sz w:val="32"/>
          <w:szCs w:val="32"/>
        </w:rPr>
        <w:t>（含参照公务员法管理的事业</w:t>
      </w:r>
      <w:r>
        <w:rPr>
          <w:rFonts w:hint="eastAsia" w:ascii="仿宋_GB2312" w:eastAsia="仿宋_GB2312"/>
          <w:sz w:val="32"/>
          <w:szCs w:val="32"/>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宋体" w:eastAsia="黑体"/>
          <w:color w:val="000000"/>
          <w:sz w:val="32"/>
          <w:szCs w:val="32"/>
        </w:rPr>
      </w:pPr>
      <w:r>
        <w:rPr>
          <w:rFonts w:hint="eastAsia" w:ascii="黑体" w:hAnsi="宋体" w:eastAsia="黑体"/>
          <w:color w:val="000000"/>
          <w:sz w:val="32"/>
          <w:szCs w:val="32"/>
        </w:rPr>
        <w:t>三、支出科目类</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（一）社会保障和就业支出（类）行政事业单位养老支出（款）机关事业单位基本养老保险缴费支出（项）：</w:t>
      </w:r>
      <w:r>
        <w:rPr>
          <w:rFonts w:hint="eastAsia" w:ascii="仿宋_GB2312" w:hAnsi="仿宋" w:eastAsia="仿宋_GB2312"/>
          <w:bCs/>
          <w:spacing w:val="-6"/>
          <w:sz w:val="32"/>
          <w:szCs w:val="32"/>
        </w:rPr>
        <w:t>反映机关事业单位实施养老保险制度由单位缴纳的基本养老保险费支出。</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（二）社会保障和就业支出（类）行政事业单位养老支出（款）机关事业单位职业年金缴费支出（项）:</w:t>
      </w:r>
      <w:r>
        <w:rPr>
          <w:rFonts w:hint="eastAsia" w:ascii="仿宋_GB2312" w:hAnsi="仿宋" w:eastAsia="仿宋_GB2312"/>
          <w:bCs/>
          <w:spacing w:val="-6"/>
          <w:sz w:val="32"/>
          <w:szCs w:val="32"/>
        </w:rPr>
        <w:t>反映机关事业单位实施养老保险制度由单位实际缴纳的职业年金支出。</w:t>
      </w:r>
    </w:p>
    <w:p>
      <w:pPr>
        <w:ind w:firstLine="619" w:firstLineChars="200"/>
        <w:rPr>
          <w:rFonts w:ascii="仿宋_GB2312" w:hAnsi="仿宋" w:eastAsia="仿宋_GB2312"/>
          <w:bCs/>
          <w:spacing w:val="-6"/>
          <w:sz w:val="32"/>
          <w:szCs w:val="32"/>
        </w:rPr>
      </w:pPr>
      <w:r>
        <w:rPr>
          <w:rFonts w:hint="eastAsia" w:ascii="仿宋_GB2312" w:hAnsi="仿宋" w:eastAsia="仿宋_GB2312"/>
          <w:b/>
          <w:spacing w:val="-6"/>
          <w:sz w:val="32"/>
          <w:szCs w:val="32"/>
        </w:rPr>
        <w:t>（三）社会保障和就业支出（类）其他社会保障和就业支出（款）其他社会保障和就业支出（项）:</w:t>
      </w:r>
      <w:r>
        <w:rPr>
          <w:rFonts w:hint="eastAsia" w:ascii="仿宋_GB2312" w:hAnsi="仿宋" w:eastAsia="仿宋_GB2312"/>
          <w:bCs/>
          <w:spacing w:val="-6"/>
          <w:sz w:val="32"/>
          <w:szCs w:val="32"/>
        </w:rPr>
        <w:t>反映除上述项目以外其他用于社会保障和就业方面的支出。</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（四）卫生健康支出（类）行政事业单位医疗（款）事业单位医疗（项）：</w:t>
      </w:r>
      <w:r>
        <w:rPr>
          <w:rFonts w:hint="eastAsia" w:ascii="仿宋_GB2312" w:hAnsi="仿宋" w:eastAsia="仿宋_GB2312"/>
          <w:bCs/>
          <w:spacing w:val="-6"/>
          <w:sz w:val="32"/>
          <w:szCs w:val="32"/>
        </w:rPr>
        <w:t>反映财政部门安排的事业单位基本医疗保险缴费经费，未参加医疗保险的事业单位的公费医疗经费，按国家规定享受离休人员待遇的医疗经费。</w:t>
      </w:r>
    </w:p>
    <w:p>
      <w:pPr>
        <w:ind w:firstLine="619" w:firstLineChars="200"/>
        <w:rPr>
          <w:rFonts w:ascii="仿宋_GB2312" w:hAnsi="仿宋" w:eastAsia="仿宋_GB2312"/>
          <w:bCs/>
          <w:spacing w:val="-6"/>
          <w:sz w:val="32"/>
          <w:szCs w:val="32"/>
        </w:rPr>
      </w:pPr>
      <w:r>
        <w:rPr>
          <w:rFonts w:hint="eastAsia" w:ascii="仿宋_GB2312" w:hAnsi="仿宋" w:eastAsia="仿宋_GB2312"/>
          <w:b/>
          <w:spacing w:val="-6"/>
          <w:sz w:val="32"/>
          <w:szCs w:val="32"/>
        </w:rPr>
        <w:t>（五）卫生健康支出（类）行政事业单位医疗（款）公务员医疗补助（项）：</w:t>
      </w:r>
      <w:r>
        <w:rPr>
          <w:rFonts w:hint="eastAsia" w:ascii="仿宋_GB2312" w:hAnsi="仿宋" w:eastAsia="仿宋_GB2312"/>
          <w:bCs/>
          <w:spacing w:val="-6"/>
          <w:sz w:val="32"/>
          <w:szCs w:val="32"/>
        </w:rPr>
        <w:t>反映财政部门安排的公务员医疗补助经费。</w:t>
      </w:r>
    </w:p>
    <w:p>
      <w:pPr>
        <w:ind w:firstLine="619" w:firstLineChars="200"/>
        <w:rPr>
          <w:rFonts w:ascii="仿宋_GB2312" w:hAnsi="仿宋" w:eastAsia="仿宋_GB2312"/>
          <w:b/>
          <w:spacing w:val="-6"/>
          <w:sz w:val="32"/>
          <w:szCs w:val="32"/>
        </w:rPr>
      </w:pPr>
      <w:r>
        <w:rPr>
          <w:rFonts w:hint="eastAsia" w:ascii="仿宋_GB2312" w:hAnsi="仿宋" w:eastAsia="仿宋_GB2312"/>
          <w:b/>
          <w:spacing w:val="-6"/>
          <w:sz w:val="32"/>
          <w:szCs w:val="32"/>
        </w:rPr>
        <w:t>（六）农林水支出（类）林业和草原（款）事业机构（项）：</w:t>
      </w:r>
      <w:r>
        <w:rPr>
          <w:rFonts w:hint="eastAsia" w:ascii="仿宋_GB2312" w:hAnsi="仿宋" w:eastAsia="仿宋_GB2312"/>
          <w:bCs/>
          <w:spacing w:val="-6"/>
          <w:sz w:val="32"/>
          <w:szCs w:val="32"/>
        </w:rPr>
        <w:t>反映事业单位的基本支出，不包括行政单位(含实行公务员管理的事业单位)后勤服务中心等附属事业单位的支出。</w:t>
      </w:r>
    </w:p>
    <w:p>
      <w:pPr>
        <w:ind w:firstLine="619" w:firstLineChars="200"/>
      </w:pPr>
      <w:r>
        <w:rPr>
          <w:rFonts w:hint="eastAsia" w:ascii="仿宋_GB2312" w:hAnsi="仿宋" w:eastAsia="仿宋_GB2312"/>
          <w:b/>
          <w:spacing w:val="-6"/>
          <w:sz w:val="32"/>
          <w:szCs w:val="32"/>
        </w:rPr>
        <w:t>（七）住房保障支出（类）住房改革支出（款）住房公积金（项）：</w:t>
      </w:r>
      <w:r>
        <w:rPr>
          <w:rFonts w:hint="eastAsia" w:ascii="仿宋_GB2312" w:hAnsi="仿宋" w:eastAsia="仿宋_GB2312"/>
          <w:bCs/>
          <w:spacing w:val="-6"/>
          <w:sz w:val="32"/>
          <w:szCs w:val="32"/>
        </w:rPr>
        <w:t>反映行政事业单位按人力资源和社会保障部、财政部规定的基本工资和津贴补贴以及规定比例为职工缴纳的住房公积金。</w:t>
      </w:r>
    </w:p>
    <w:p>
      <w:pPr>
        <w:ind w:firstLine="640" w:firstLineChars="200"/>
        <w:rPr>
          <w:rFonts w:ascii="黑体" w:hAnsi="黑体" w:eastAsia="黑体"/>
          <w:sz w:val="32"/>
          <w:szCs w:val="32"/>
        </w:rPr>
      </w:pPr>
      <w:r>
        <w:rPr>
          <w:rFonts w:hint="eastAsia" w:ascii="黑体" w:hAnsi="黑体" w:eastAsia="黑体"/>
          <w:sz w:val="32"/>
          <w:szCs w:val="32"/>
        </w:rPr>
        <w:t>四、部门专业类名词</w:t>
      </w:r>
    </w:p>
    <w:p>
      <w:pPr>
        <w:adjustRightInd w:val="0"/>
        <w:snapToGrid w:val="0"/>
        <w:spacing w:line="560" w:lineRule="exact"/>
        <w:ind w:firstLine="640" w:firstLineChars="200"/>
      </w:pPr>
      <w:r>
        <w:rPr>
          <w:rFonts w:hint="eastAsia" w:ascii="仿宋_GB2312" w:eastAsia="仿宋_GB2312"/>
          <w:sz w:val="32"/>
          <w:szCs w:val="32"/>
        </w:rPr>
        <w:t>无。</w:t>
      </w:r>
    </w:p>
    <w:sectPr>
      <w:headerReference r:id="rId3" w:type="default"/>
      <w:footerReference r:id="rId4" w:type="default"/>
      <w:footerReference r:id="rId5" w:type="even"/>
      <w:pgSz w:w="11906" w:h="16838"/>
      <w:pgMar w:top="1440" w:right="1531" w:bottom="1440"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18</w:t>
    </w:r>
    <w:r>
      <w:rPr>
        <w:rStyle w:val="8"/>
      </w:rP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hlY2M5OWFjNGU4MTQxNDE4NDE1NTkyM2MyZjcxNGU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2A27"/>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0D38"/>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3C6C"/>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A178D"/>
    <w:rsid w:val="004B0FA1"/>
    <w:rsid w:val="004B146E"/>
    <w:rsid w:val="004C009B"/>
    <w:rsid w:val="004C08A2"/>
    <w:rsid w:val="004C43CC"/>
    <w:rsid w:val="004C7D6C"/>
    <w:rsid w:val="004D38F0"/>
    <w:rsid w:val="004D5ECB"/>
    <w:rsid w:val="004E1B91"/>
    <w:rsid w:val="004E2DDF"/>
    <w:rsid w:val="004E6982"/>
    <w:rsid w:val="004F03A5"/>
    <w:rsid w:val="004F2AFD"/>
    <w:rsid w:val="004F3B4F"/>
    <w:rsid w:val="004F3DD4"/>
    <w:rsid w:val="004F49A9"/>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0886"/>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75BB8"/>
    <w:rsid w:val="00B91070"/>
    <w:rsid w:val="00B94982"/>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26A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961C17"/>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54EC9"/>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5B2C8B"/>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1F47400"/>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qFormat/>
    <w:uiPriority w:val="0"/>
    <w:pPr>
      <w:spacing w:before="100" w:beforeAutospacing="1" w:after="100" w:afterAutospacing="1"/>
      <w:outlineLvl w:val="0"/>
    </w:pPr>
    <w:rPr>
      <w:rFonts w:ascii="宋体" w:hAnsi="宋体" w:eastAsia="宋体" w:cs="宋体"/>
      <w:b/>
      <w:bCs/>
      <w:kern w:val="36"/>
      <w:sz w:val="48"/>
      <w:szCs w:val="48"/>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link w:val="3"/>
    <w:semiHidden/>
    <w:qFormat/>
    <w:uiPriority w:val="99"/>
    <w:rPr>
      <w:rFonts w:ascii="Times New Roman" w:hAnsi="Times New Roman"/>
      <w:kern w:val="2"/>
      <w:sz w:val="18"/>
      <w:szCs w:val="18"/>
    </w:rPr>
  </w:style>
  <w:style w:type="character" w:customStyle="1" w:styleId="10">
    <w:name w:val="页脚 Char"/>
    <w:link w:val="4"/>
    <w:qFormat/>
    <w:uiPriority w:val="99"/>
    <w:rPr>
      <w:rFonts w:ascii="Times New Roman" w:hAnsi="Times New Roman"/>
      <w:kern w:val="2"/>
      <w:sz w:val="18"/>
      <w:szCs w:val="18"/>
    </w:rPr>
  </w:style>
  <w:style w:type="character" w:customStyle="1" w:styleId="11">
    <w:name w:val="页眉 Char"/>
    <w:link w:val="5"/>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 w:type="paragraph" w:styleId="13">
    <w:name w:val="No Spacing"/>
    <w:link w:val="14"/>
    <w:qFormat/>
    <w:uiPriority w:val="0"/>
    <w:rPr>
      <w:rFonts w:ascii="Calibri" w:hAnsi="Calibri" w:eastAsia="宋体" w:cs="Times New Roman"/>
      <w:sz w:val="22"/>
      <w:szCs w:val="22"/>
      <w:lang w:val="en-US" w:eastAsia="zh-CN" w:bidi="ar-SA"/>
    </w:rPr>
  </w:style>
  <w:style w:type="character" w:customStyle="1" w:styleId="14">
    <w:name w:val="无间隔 Char"/>
    <w:link w:val="13"/>
    <w:qFormat/>
    <w:uiPriority w:val="0"/>
    <w:rPr>
      <w:sz w:val="22"/>
      <w:szCs w:val="22"/>
      <w:lang w:bidi="ar-SA"/>
    </w:rPr>
  </w:style>
  <w:style w:type="paragraph" w:customStyle="1" w:styleId="15">
    <w:name w:val="正文1"/>
    <w:basedOn w:val="1"/>
    <w:qFormat/>
    <w:uiPriority w:val="0"/>
    <w:pPr>
      <w:widowControl/>
    </w:pPr>
    <w:rPr>
      <w:rFonts w:eastAsia="Times New Roman"/>
      <w:kern w:val="0"/>
      <w:lang w:val="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5286</Words>
  <Characters>6295</Characters>
  <Lines>54</Lines>
  <Paragraphs>15</Paragraphs>
  <TotalTime>9</TotalTime>
  <ScaleCrop>false</ScaleCrop>
  <LinksUpToDate>false</LinksUpToDate>
  <CharactersWithSpaces>6392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2023-06-05T02:30:00Z</dcterms:created>
  <dc:creator>王炜(部门内部人)</dc:creator>
  <cp:lastModifiedBy>bubbly゜</cp:lastModifiedBy>
  <cp:lastPrinted>2021-01-31T19:43:00Z</cp:lastPrinted>
  <dcterms:modified xsi:type="dcterms:W3CDTF">2023-06-06T07:57:59Z</dcterms:modified>
  <dc:title>×××部门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6D9798FB4E6F418FA3B1CF7A3E9CF8AB_13</vt:lpwstr>
  </property>
</Properties>
</file>