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5"/>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5"/>
              <w:jc w:val="center"/>
              <w:rPr>
                <w:rFonts w:hint="eastAsia" w:ascii="Cambria" w:hAnsi="Cambria"/>
                <w:b/>
                <w:sz w:val="80"/>
                <w:szCs w:val="80"/>
                <w:lang w:val="en-US" w:eastAsia="zh-CN"/>
              </w:rPr>
            </w:pPr>
            <w:r>
              <w:rPr>
                <w:rFonts w:hint="eastAsia" w:ascii="Cambria" w:hAnsi="Cambria"/>
                <w:b/>
                <w:sz w:val="80"/>
                <w:szCs w:val="80"/>
                <w:lang w:val="en-US" w:eastAsia="zh-CN"/>
              </w:rPr>
              <w:t>湟源县新农村建设</w:t>
            </w:r>
          </w:p>
          <w:p>
            <w:pPr>
              <w:pStyle w:val="15"/>
              <w:jc w:val="center"/>
              <w:rPr>
                <w:rFonts w:ascii="Cambria" w:hAnsi="Cambria"/>
                <w:b/>
                <w:sz w:val="80"/>
                <w:szCs w:val="80"/>
              </w:rPr>
            </w:pPr>
            <w:r>
              <w:rPr>
                <w:rFonts w:hint="eastAsia" w:ascii="Cambria" w:hAnsi="Cambria"/>
                <w:b/>
                <w:sz w:val="80"/>
                <w:szCs w:val="80"/>
                <w:lang w:val="en-US" w:eastAsia="zh-CN"/>
              </w:rPr>
              <w:t>服务中心</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5"/>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5"/>
              <w:jc w:val="center"/>
            </w:pPr>
          </w:p>
        </w:tc>
      </w:tr>
    </w:tbl>
    <w:p/>
    <w:tbl>
      <w:tblPr>
        <w:tblStyle w:val="8"/>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5"/>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贯彻落实省、市、县政府美丽乡村建设决策部署，研究全县美丽乡村建设工作的重大政策和重大问题</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统筹协调、管理实施全县美丽乡村建设、一事一议建设项目。</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牵头起草县美丽乡村建设工作重要文件，制定全县美丽乡村建设项目方案、汇总整理全县美丽乡村建设上半年及年度工作总结，会同领导小组成员单位做好政策制定、资金投入、督查调度、总结考核等工作。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负责县美丽乡村建设工作领导小组会议、全县美丽乡村建设工作会议和其他工作会议的有关文稿起草、组织协调等筹备工作。研究提出领导小组会议议题和会议方案的建议，经领导小组组长批准后组织实施，并负责会议精神的传达落实。</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负责与领导小组成员单位和各乡镇美丽乡村建设工作机构的日常协调联络工作。负责日常文电办理工作。负责工作动态信息收集统计及整理报送。组织开展调研、观摩工作交流。负责组织开展宣传工作，负责编发工作简报、年度文件资料汇编。</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组织开展美丽乡村建设重大问题调研，向县委、县政府提出政策建议。</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完成县委、县政府交办的有关美丽乡村建设的其他工作任务。</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ind w:firstLine="640" w:firstLineChars="200"/>
        <w:rPr>
          <w:rFonts w:hint="eastAsia" w:ascii="仿宋_GB2312" w:eastAsia="仿宋_GB2312"/>
          <w:sz w:val="32"/>
          <w:szCs w:val="32"/>
        </w:rPr>
      </w:pPr>
      <w:r>
        <w:rPr>
          <w:rFonts w:hint="eastAsia" w:ascii="仿宋_GB2312" w:eastAsia="仿宋_GB2312"/>
          <w:sz w:val="32"/>
          <w:szCs w:val="32"/>
        </w:rPr>
        <w:t>核定事业编制人数</w:t>
      </w:r>
      <w:r>
        <w:rPr>
          <w:rFonts w:hint="eastAsia" w:ascii="仿宋_GB2312" w:eastAsia="仿宋_GB2312"/>
          <w:sz w:val="32"/>
          <w:szCs w:val="32"/>
          <w:lang w:val="en-US" w:eastAsia="zh-CN"/>
        </w:rPr>
        <w:t>6</w:t>
      </w:r>
      <w:r>
        <w:rPr>
          <w:rFonts w:hint="eastAsia" w:ascii="仿宋_GB2312" w:eastAsia="仿宋_GB2312"/>
          <w:sz w:val="32"/>
          <w:szCs w:val="32"/>
        </w:rPr>
        <w:t>人，</w:t>
      </w:r>
      <w:r>
        <w:rPr>
          <w:rFonts w:hint="eastAsia" w:ascii="仿宋_GB2312" w:eastAsia="仿宋_GB2312"/>
          <w:sz w:val="32"/>
          <w:szCs w:val="32"/>
          <w:lang w:val="en-US" w:eastAsia="zh-CN"/>
        </w:rPr>
        <w:t>设置管理岗位2个，专业技术岗位3个，工勤技能岗位1个。年末专业技术2人，工勤技能1人，实有人数3人。</w:t>
      </w: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pStyle w:val="15"/>
        <w:ind w:firstLine="640"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纳入湟源县新农村建设服务中心2023年部门预算编制范围的二级预算单位包括：</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720" w:firstLineChars="200"/>
        <w:jc w:val="center"/>
        <w:rPr>
          <w:rFonts w:hint="eastAsia" w:ascii="小标宋" w:eastAsia="小标宋"/>
          <w:b/>
          <w:color w:val="000000"/>
          <w:sz w:val="36"/>
          <w:szCs w:val="36"/>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8"/>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517.72</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6.63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3.52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503.43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517.72</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517.72</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517.72</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517.72</w:t>
            </w:r>
          </w:p>
        </w:tc>
      </w:tr>
    </w:tbl>
    <w:p>
      <w:pPr>
        <w:rPr>
          <w:rFonts w:hint="eastAsia" w:ascii="仿宋_GB2312" w:eastAsia="仿宋_GB2312"/>
          <w:sz w:val="32"/>
          <w:szCs w:val="32"/>
          <w:lang w:val="en-US" w:eastAsia="zh-CN"/>
        </w:rPr>
      </w:pPr>
    </w:p>
    <w:tbl>
      <w:tblPr>
        <w:tblStyle w:val="8"/>
        <w:tblpPr w:leftFromText="180" w:rightFromText="180" w:vertAnchor="text" w:horzAnchor="page" w:tblpXSpec="center" w:tblpY="618"/>
        <w:tblOverlap w:val="never"/>
        <w:tblW w:w="11556" w:type="dxa"/>
        <w:jc w:val="center"/>
        <w:tblLayout w:type="fixed"/>
        <w:tblCellMar>
          <w:top w:w="0" w:type="dxa"/>
          <w:left w:w="108" w:type="dxa"/>
          <w:bottom w:w="0" w:type="dxa"/>
          <w:right w:w="108" w:type="dxa"/>
        </w:tblCellMar>
      </w:tblPr>
      <w:tblGrid>
        <w:gridCol w:w="1065"/>
        <w:gridCol w:w="1011"/>
        <w:gridCol w:w="1083"/>
        <w:gridCol w:w="1084"/>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55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5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56"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517.72</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517.72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湟源县新农村建设服务中心</w:t>
            </w: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517.72</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517.72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湟源县新农村建设服务中心（本级）</w:t>
            </w:r>
          </w:p>
        </w:tc>
        <w:tc>
          <w:tcPr>
            <w:tcW w:w="101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517.72</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517.72</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306" w:type="dxa"/>
        <w:jc w:val="center"/>
        <w:tblLayout w:type="fixed"/>
        <w:tblCellMar>
          <w:top w:w="0" w:type="dxa"/>
          <w:left w:w="108" w:type="dxa"/>
          <w:bottom w:w="0" w:type="dxa"/>
          <w:right w:w="108" w:type="dxa"/>
        </w:tblCellMar>
      </w:tblPr>
      <w:tblGrid>
        <w:gridCol w:w="1100"/>
        <w:gridCol w:w="3881"/>
        <w:gridCol w:w="1054"/>
        <w:gridCol w:w="1054"/>
        <w:gridCol w:w="1054"/>
        <w:gridCol w:w="1054"/>
        <w:gridCol w:w="1054"/>
        <w:gridCol w:w="1055"/>
      </w:tblGrid>
      <w:tr>
        <w:tblPrEx>
          <w:tblCellMar>
            <w:top w:w="0" w:type="dxa"/>
            <w:left w:w="108" w:type="dxa"/>
            <w:bottom w:w="0" w:type="dxa"/>
            <w:right w:w="108" w:type="dxa"/>
          </w:tblCellMar>
        </w:tblPrEx>
        <w:trPr>
          <w:trHeight w:val="187" w:hRule="atLeast"/>
          <w:jc w:val="center"/>
        </w:trPr>
        <w:tc>
          <w:tcPr>
            <w:tcW w:w="11306"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306"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306"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98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517.72</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52.72</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465.00</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6.46</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6.46</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4.31</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4.31</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2.15</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2.15</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0.17</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0.17</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0.17</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0.17</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3.52</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3.52</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3.52</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3.52</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503.43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38.43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465.00</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农村综合改革</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503.43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38.43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465.00</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2130799</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其他农村综合改革支出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503.43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38.43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465.00</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8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4.13</w:t>
            </w: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0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8"/>
        <w:tblpPr w:leftFromText="180" w:rightFromText="180" w:vertAnchor="text" w:horzAnchor="page" w:tblpXSpec="center" w:tblpY="183"/>
        <w:tblOverlap w:val="never"/>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1084"/>
        <w:gridCol w:w="1751"/>
        <w:gridCol w:w="1343"/>
        <w:gridCol w:w="123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27"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7"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7"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57"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4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3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3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517.72</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517.72</w:t>
            </w: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517.72</w:t>
            </w: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517.72</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6.63</w:t>
            </w: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6.63</w:t>
            </w: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3.52</w:t>
            </w: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3.52</w:t>
            </w: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503.43</w:t>
            </w: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503.43</w:t>
            </w: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4.13</w:t>
            </w: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4.13</w:t>
            </w: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517.72</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43"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517.72</w:t>
            </w:r>
          </w:p>
        </w:tc>
        <w:tc>
          <w:tcPr>
            <w:tcW w:w="123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517.72</w:t>
            </w:r>
          </w:p>
        </w:tc>
        <w:tc>
          <w:tcPr>
            <w:tcW w:w="1338"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8"/>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07"/>
        <w:gridCol w:w="1451"/>
        <w:gridCol w:w="1451"/>
        <w:gridCol w:w="1451"/>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5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0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5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517.72</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52.72</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6.63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6.63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6.46</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6.46</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4.31</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4.31</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2.15</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2.15</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0.17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0.17</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3.52</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3.52</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3.52</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3.52</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1.58</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1.94</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1.94</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503.43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38.43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农村综合改革</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503.43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38.43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其他农村综合改革支出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503.43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38.43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465.00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4.13</w:t>
            </w:r>
          </w:p>
        </w:tc>
        <w:tc>
          <w:tcPr>
            <w:tcW w:w="14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1245" w:type="dxa"/>
        <w:jc w:val="center"/>
        <w:tblLayout w:type="fixed"/>
        <w:tblCellMar>
          <w:top w:w="0" w:type="dxa"/>
          <w:left w:w="108" w:type="dxa"/>
          <w:bottom w:w="0" w:type="dxa"/>
          <w:right w:w="108" w:type="dxa"/>
        </w:tblCellMar>
      </w:tblPr>
      <w:tblGrid>
        <w:gridCol w:w="650"/>
        <w:gridCol w:w="650"/>
        <w:gridCol w:w="3244"/>
        <w:gridCol w:w="2233"/>
        <w:gridCol w:w="2233"/>
        <w:gridCol w:w="2235"/>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54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70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24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3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3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3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2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544"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52.72</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50.07</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2.65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50.07</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50.07</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8.35</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8.35</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10.47</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10.47</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16.96</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16.96</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4.31</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4.31</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2.15</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2.15</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1.58</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1.58</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1.94</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1.94</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0.17</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0.17</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4.13</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4.13</w:t>
            </w: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2.65</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2.65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0.30</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0.49</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0.18</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399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4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其他支出</w:t>
            </w: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35"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8"/>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0.96</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0.90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0.06</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8"/>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湟源县新农村建设服务中心2023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湟源县新农村建设服务中心</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一般公共预算拨款收入517.72万元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社会保障和就业支出6.63万元，卫生健康支出3.52万元，农林水支出503.43万元，住房保障支出4.13万元</w:t>
      </w:r>
      <w:r>
        <w:rPr>
          <w:rFonts w:hint="eastAsia" w:ascii="仿宋_GB2312" w:eastAsia="仿宋_GB2312"/>
          <w:sz w:val="32"/>
          <w:szCs w:val="32"/>
        </w:rPr>
        <w:t>。</w:t>
      </w: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年收支总预算</w:t>
      </w:r>
      <w:r>
        <w:rPr>
          <w:rFonts w:hint="eastAsia" w:ascii="仿宋_GB2312" w:eastAsia="仿宋_GB2312"/>
          <w:sz w:val="32"/>
          <w:szCs w:val="32"/>
          <w:lang w:val="en-US" w:eastAsia="zh-CN"/>
        </w:rPr>
        <w:t>517.72</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湟源县新农村建设服务中心2023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年收入预算</w:t>
      </w:r>
      <w:r>
        <w:rPr>
          <w:rFonts w:hint="eastAsia" w:ascii="仿宋_GB2312" w:eastAsia="仿宋_GB2312"/>
          <w:sz w:val="32"/>
          <w:szCs w:val="32"/>
          <w:lang w:val="en-US" w:eastAsia="zh-CN"/>
        </w:rPr>
        <w:t>517.72</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一般公共预算拨款收入517.72万元，占100.00%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58.1pt;width:343.6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湟源县新农村建设服务中心2023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年支出预算</w:t>
      </w:r>
      <w:r>
        <w:rPr>
          <w:rFonts w:hint="eastAsia" w:ascii="仿宋_GB2312" w:eastAsia="仿宋_GB2312"/>
          <w:sz w:val="32"/>
          <w:szCs w:val="32"/>
          <w:lang w:val="en-US" w:eastAsia="zh-CN"/>
        </w:rPr>
        <w:t>517.72</w:t>
      </w:r>
      <w:r>
        <w:rPr>
          <w:rFonts w:hint="eastAsia" w:ascii="仿宋_GB2312" w:eastAsia="仿宋_GB2312"/>
          <w:sz w:val="32"/>
          <w:szCs w:val="32"/>
        </w:rPr>
        <w:t>万元，其中：</w:t>
      </w:r>
      <w:r>
        <w:rPr>
          <w:rFonts w:hint="eastAsia" w:ascii="仿宋_GB2312" w:eastAsia="仿宋_GB2312"/>
          <w:sz w:val="32"/>
          <w:szCs w:val="32"/>
          <w:lang w:val="en-US" w:eastAsia="zh-CN"/>
        </w:rPr>
        <w:t>基本支出52.72万元，占10.18%；项目支出465.00万元，占89.82%</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2.5pt;width:331.4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湟源县新农村建设服务中心2023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517.72</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增加517.72</w:t>
      </w:r>
      <w:r>
        <w:rPr>
          <w:rFonts w:hint="eastAsia" w:ascii="仿宋_GB2312" w:eastAsia="仿宋_GB2312"/>
          <w:sz w:val="32"/>
          <w:szCs w:val="32"/>
        </w:rPr>
        <w:t>万元，主要是</w:t>
      </w:r>
      <w:r>
        <w:rPr>
          <w:rFonts w:hint="eastAsia" w:ascii="仿宋_GB2312" w:eastAsia="仿宋_GB2312"/>
          <w:sz w:val="32"/>
          <w:szCs w:val="32"/>
          <w:lang w:val="en-US" w:eastAsia="zh-CN"/>
        </w:rPr>
        <w:t>本单位是2023年新成立的预算单位</w:t>
      </w:r>
      <w:r>
        <w:rPr>
          <w:rFonts w:hint="eastAsia" w:ascii="仿宋_GB2312" w:eastAsia="仿宋_GB2312"/>
          <w:sz w:val="32"/>
          <w:szCs w:val="32"/>
        </w:rPr>
        <w:t>。收入包括：</w:t>
      </w:r>
      <w:r>
        <w:rPr>
          <w:rFonts w:hint="eastAsia" w:ascii="仿宋_GB2312" w:eastAsia="仿宋_GB2312"/>
          <w:sz w:val="32"/>
          <w:szCs w:val="32"/>
          <w:lang w:val="en-US" w:eastAsia="zh-CN"/>
        </w:rPr>
        <w:t>一般公共预算拨款收入517.72万元，上年结转0.00万元；政府性基金预算拨款收入0.00万元，上年结转0.00万元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社会保障和就业支出6.63万元， 卫生健康支出3.52万元， 农林水支出503.43万元， 住房保障支出4.13万元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6.8pt;width:340.8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湟源县新农村建设服务中心2023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i w:val="0"/>
          <w:iCs/>
          <w:sz w:val="32"/>
          <w:szCs w:val="32"/>
          <w:u w:val="none"/>
          <w:lang w:eastAsia="zh-CN"/>
        </w:rPr>
      </w:pP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517.72</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增加517.72</w:t>
      </w:r>
      <w:r>
        <w:rPr>
          <w:rFonts w:hint="eastAsia" w:ascii="仿宋_GB2312" w:eastAsia="仿宋_GB2312"/>
          <w:sz w:val="32"/>
          <w:szCs w:val="32"/>
        </w:rPr>
        <w:t>万元，主要是</w:t>
      </w:r>
      <w:r>
        <w:rPr>
          <w:rFonts w:hint="eastAsia" w:ascii="仿宋_GB2312" w:eastAsia="仿宋_GB2312"/>
          <w:sz w:val="32"/>
          <w:szCs w:val="32"/>
          <w:lang w:val="en-US" w:eastAsia="zh-CN"/>
        </w:rPr>
        <w:t>本单位是2023年新成立的预算单位</w:t>
      </w:r>
      <w:r>
        <w:rPr>
          <w:rFonts w:hint="eastAsia" w:ascii="仿宋_GB2312" w:eastAsia="仿宋_GB2312"/>
          <w:i w:val="0"/>
          <w:iCs/>
          <w:sz w:val="32"/>
          <w:szCs w:val="32"/>
          <w:u w:val="none"/>
          <w:lang w:eastAsia="zh-CN"/>
        </w:rPr>
        <w:t>。</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99.2pt;width:290.05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社会保障和就业支出6.63万元，占1.28%；卫生健康支出3.52万元，占0.68%；农林水支出503.43万元，占97.24%；住房保障支出4.13万元，占0.80%</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55.6pt;width:338.2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4.31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增加4.31</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本单位为2023年新成立的预算单位</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2.15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增加2.15</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本单</w:t>
      </w:r>
      <w:r>
        <w:rPr>
          <w:rFonts w:hint="eastAsia" w:ascii="仿宋_GB2312" w:eastAsia="仿宋_GB2312"/>
          <w:sz w:val="32"/>
          <w:szCs w:val="32"/>
          <w:highlight w:val="none"/>
          <w:lang w:val="en-US" w:eastAsia="zh-CN"/>
        </w:rPr>
        <w:t>位为2</w:t>
      </w:r>
      <w:r>
        <w:rPr>
          <w:rFonts w:hint="eastAsia" w:ascii="仿宋_GB2312" w:eastAsia="仿宋_GB2312"/>
          <w:sz w:val="32"/>
          <w:szCs w:val="32"/>
          <w:lang w:val="en-US" w:eastAsia="zh-CN"/>
        </w:rPr>
        <w:t>023年新成立的预算单位。</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0.17</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增加0.17</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本单位</w:t>
      </w:r>
      <w:r>
        <w:rPr>
          <w:rFonts w:hint="eastAsia" w:ascii="仿宋_GB2312" w:eastAsia="仿宋_GB2312"/>
          <w:sz w:val="32"/>
          <w:szCs w:val="32"/>
          <w:highlight w:val="none"/>
          <w:lang w:val="en-US" w:eastAsia="zh-CN"/>
        </w:rPr>
        <w:t>为</w:t>
      </w:r>
      <w:r>
        <w:rPr>
          <w:rFonts w:hint="eastAsia" w:ascii="仿宋_GB2312" w:eastAsia="仿宋_GB2312"/>
          <w:sz w:val="32"/>
          <w:szCs w:val="32"/>
          <w:lang w:val="en-US" w:eastAsia="zh-CN"/>
        </w:rPr>
        <w:t>2023年新成立的预算单位。</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增加1.58</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本单</w:t>
      </w:r>
      <w:r>
        <w:rPr>
          <w:rFonts w:hint="eastAsia" w:ascii="仿宋_GB2312" w:eastAsia="仿宋_GB2312"/>
          <w:sz w:val="32"/>
          <w:szCs w:val="32"/>
          <w:highlight w:val="none"/>
          <w:lang w:val="en-US" w:eastAsia="zh-CN"/>
        </w:rPr>
        <w:t>位为2</w:t>
      </w:r>
      <w:r>
        <w:rPr>
          <w:rFonts w:hint="eastAsia" w:ascii="仿宋_GB2312" w:eastAsia="仿宋_GB2312"/>
          <w:sz w:val="32"/>
          <w:szCs w:val="32"/>
          <w:lang w:val="en-US" w:eastAsia="zh-CN"/>
        </w:rPr>
        <w:t>023年新成立的预算单位</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增加1.94</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本单位</w:t>
      </w:r>
      <w:r>
        <w:rPr>
          <w:rFonts w:hint="eastAsia" w:ascii="仿宋_GB2312" w:eastAsia="仿宋_GB2312"/>
          <w:sz w:val="32"/>
          <w:szCs w:val="32"/>
          <w:highlight w:val="none"/>
          <w:lang w:val="en-US" w:eastAsia="zh-CN"/>
        </w:rPr>
        <w:t>为202</w:t>
      </w:r>
      <w:r>
        <w:rPr>
          <w:rFonts w:hint="eastAsia" w:ascii="仿宋_GB2312" w:eastAsia="仿宋_GB2312"/>
          <w:sz w:val="32"/>
          <w:szCs w:val="32"/>
          <w:lang w:val="en-US" w:eastAsia="zh-CN"/>
        </w:rPr>
        <w:t>3年新成立的预算单位。</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农村综合改革</w:t>
      </w:r>
      <w:r>
        <w:rPr>
          <w:rFonts w:hint="eastAsia" w:ascii="仿宋_GB2312" w:eastAsia="仿宋_GB2312"/>
          <w:sz w:val="32"/>
          <w:szCs w:val="32"/>
        </w:rPr>
        <w:t>（款）</w:t>
      </w:r>
      <w:r>
        <w:rPr>
          <w:rFonts w:hint="eastAsia" w:ascii="仿宋_GB2312" w:eastAsia="仿宋_GB2312"/>
          <w:sz w:val="32"/>
          <w:szCs w:val="32"/>
          <w:lang w:val="en-US" w:eastAsia="zh-CN"/>
        </w:rPr>
        <w:t>其他农村综合改革支出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503.43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增加503.43</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本单</w:t>
      </w:r>
      <w:r>
        <w:rPr>
          <w:rFonts w:hint="eastAsia" w:ascii="仿宋_GB2312" w:eastAsia="仿宋_GB2312"/>
          <w:sz w:val="32"/>
          <w:szCs w:val="32"/>
          <w:highlight w:val="none"/>
          <w:lang w:val="en-US" w:eastAsia="zh-CN"/>
        </w:rPr>
        <w:t>位为</w:t>
      </w:r>
      <w:r>
        <w:rPr>
          <w:rFonts w:hint="eastAsia" w:ascii="仿宋_GB2312" w:eastAsia="仿宋_GB2312"/>
          <w:sz w:val="32"/>
          <w:szCs w:val="32"/>
          <w:lang w:val="en-US" w:eastAsia="zh-CN"/>
        </w:rPr>
        <w:t>2023年新成立的预算单位。</w:t>
      </w:r>
    </w:p>
    <w:p>
      <w:pPr>
        <w:ind w:firstLine="645"/>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增加4.13</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%。主要是</w:t>
      </w:r>
      <w:r>
        <w:rPr>
          <w:rFonts w:hint="eastAsia" w:ascii="仿宋_GB2312" w:eastAsia="仿宋_GB2312"/>
          <w:sz w:val="32"/>
          <w:szCs w:val="32"/>
          <w:lang w:val="en-US" w:eastAsia="zh-CN"/>
        </w:rPr>
        <w:t>本单</w:t>
      </w:r>
      <w:r>
        <w:rPr>
          <w:rFonts w:hint="eastAsia" w:ascii="仿宋_GB2312" w:eastAsia="仿宋_GB2312"/>
          <w:sz w:val="32"/>
          <w:szCs w:val="32"/>
          <w:highlight w:val="none"/>
          <w:lang w:val="en-US" w:eastAsia="zh-CN"/>
        </w:rPr>
        <w:t>位为20</w:t>
      </w:r>
      <w:r>
        <w:rPr>
          <w:rFonts w:hint="eastAsia" w:ascii="仿宋_GB2312" w:eastAsia="仿宋_GB2312"/>
          <w:sz w:val="32"/>
          <w:szCs w:val="32"/>
          <w:lang w:val="en-US" w:eastAsia="zh-CN"/>
        </w:rPr>
        <w:t>23年新成立的预算单位</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湟源县新农村建设服务中心2023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52.72</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50.07</w:t>
      </w:r>
      <w:r>
        <w:rPr>
          <w:rFonts w:hint="eastAsia" w:ascii="仿宋_GB2312" w:eastAsia="仿宋_GB2312"/>
          <w:sz w:val="32"/>
          <w:szCs w:val="32"/>
        </w:rPr>
        <w:t>万元，主要包括：</w:t>
      </w:r>
      <w:r>
        <w:rPr>
          <w:rFonts w:hint="eastAsia" w:ascii="仿宋_GB2312" w:eastAsia="仿宋_GB2312"/>
          <w:sz w:val="32"/>
          <w:szCs w:val="32"/>
          <w:lang w:val="en-US" w:eastAsia="zh-CN"/>
        </w:rPr>
        <w:t>基本工资8.35万元、津贴补贴10.47万元、绩效工资16.96万元、机关事业单位基本养老保险缴费4.31万元、职业年金缴费2.15万元、职工基本医疗保险缴费1.58万元、公务员医疗补助缴费1.94万元、其他社会保障缴费0.17万元、住房公积金4.13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2.65</w:t>
      </w:r>
      <w:r>
        <w:rPr>
          <w:rFonts w:hint="eastAsia" w:ascii="仿宋_GB2312" w:eastAsia="仿宋_GB2312"/>
          <w:sz w:val="32"/>
          <w:szCs w:val="32"/>
        </w:rPr>
        <w:t>万元，主要包括：</w:t>
      </w:r>
      <w:r>
        <w:rPr>
          <w:rFonts w:hint="eastAsia" w:ascii="仿宋_GB2312" w:eastAsia="仿宋_GB2312"/>
          <w:sz w:val="32"/>
          <w:szCs w:val="32"/>
          <w:lang w:val="en-US" w:eastAsia="zh-CN"/>
        </w:rPr>
        <w:t>办公费0.24万元、水费0.06万元、电费0.06万元、邮电费0.18万元、取暖费0.30万元、差旅费0.18万元、公务接待费0.06万元、工会经费0.49万元、公务用车运行维护费0.90万元、其他商品和服务支出0.18万元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湟源县新农村建设服务中心2023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0.96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增加0.96</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0.90</w:t>
      </w:r>
      <w:r>
        <w:rPr>
          <w:rFonts w:hint="eastAsia" w:ascii="仿宋_GB2312" w:eastAsia="仿宋_GB2312"/>
          <w:sz w:val="32"/>
          <w:szCs w:val="32"/>
        </w:rPr>
        <w:t>万元，</w:t>
      </w:r>
      <w:r>
        <w:rPr>
          <w:rFonts w:hint="eastAsia" w:ascii="仿宋_GB2312" w:eastAsia="仿宋_GB2312"/>
          <w:sz w:val="32"/>
          <w:szCs w:val="32"/>
          <w:lang w:val="en-US" w:eastAsia="zh-CN"/>
        </w:rPr>
        <w:t>增加0.90</w:t>
      </w:r>
      <w:r>
        <w:rPr>
          <w:rFonts w:hint="eastAsia" w:ascii="仿宋_GB2312" w:eastAsia="仿宋_GB2312"/>
          <w:sz w:val="32"/>
          <w:szCs w:val="32"/>
        </w:rPr>
        <w:t>万元；公务接待费</w:t>
      </w:r>
      <w:r>
        <w:rPr>
          <w:rFonts w:hint="eastAsia" w:ascii="仿宋_GB2312" w:eastAsia="仿宋_GB2312"/>
          <w:sz w:val="32"/>
          <w:szCs w:val="32"/>
          <w:lang w:val="en-US" w:eastAsia="zh-CN"/>
        </w:rPr>
        <w:t>0.06</w:t>
      </w:r>
      <w:r>
        <w:rPr>
          <w:rFonts w:hint="eastAsia" w:ascii="仿宋_GB2312" w:eastAsia="仿宋_GB2312"/>
          <w:sz w:val="32"/>
          <w:szCs w:val="32"/>
        </w:rPr>
        <w:t>万元，</w:t>
      </w:r>
      <w:r>
        <w:rPr>
          <w:rFonts w:hint="eastAsia" w:ascii="仿宋_GB2312" w:eastAsia="仿宋_GB2312"/>
          <w:sz w:val="32"/>
          <w:szCs w:val="32"/>
          <w:lang w:val="en-US" w:eastAsia="zh-CN"/>
        </w:rPr>
        <w:t>增加0.06</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w:t>
      </w:r>
      <w:r>
        <w:rPr>
          <w:rFonts w:hint="eastAsia" w:ascii="仿宋_GB2312" w:eastAsia="仿宋_GB2312"/>
          <w:sz w:val="32"/>
          <w:szCs w:val="32"/>
          <w:lang w:val="en-US" w:eastAsia="zh-CN"/>
        </w:rPr>
        <w:t>本单</w:t>
      </w:r>
      <w:r>
        <w:rPr>
          <w:rFonts w:hint="eastAsia" w:ascii="仿宋_GB2312" w:eastAsia="仿宋_GB2312"/>
          <w:sz w:val="32"/>
          <w:szCs w:val="32"/>
          <w:highlight w:val="none"/>
          <w:lang w:val="en-US" w:eastAsia="zh-CN"/>
        </w:rPr>
        <w:t>位为</w:t>
      </w:r>
      <w:r>
        <w:rPr>
          <w:rFonts w:hint="eastAsia" w:ascii="仿宋_GB2312" w:eastAsia="仿宋_GB2312"/>
          <w:sz w:val="32"/>
          <w:szCs w:val="32"/>
          <w:lang w:val="en-US" w:eastAsia="zh-CN"/>
        </w:rPr>
        <w:t>2023年新成立的预算单位</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湟源县新农村建设服务中心2023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湟源县新农村建设服务中心2023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湟源县新农村建设服务中心</w:t>
      </w:r>
      <w:r>
        <w:rPr>
          <w:rFonts w:hint="eastAsia" w:ascii="仿宋_GB2312" w:hAnsi="仿宋" w:eastAsia="仿宋_GB2312"/>
          <w:spacing w:val="-6"/>
          <w:kern w:val="2"/>
          <w:sz w:val="32"/>
          <w:szCs w:val="32"/>
          <w:lang w:val="en-US"/>
        </w:rPr>
        <w:t>机关运行经费财政拨款预算2.65万元，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预算增加2.65万元，增长</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00%。主要是</w:t>
      </w:r>
      <w:r>
        <w:rPr>
          <w:rFonts w:hint="eastAsia" w:ascii="仿宋_GB2312" w:eastAsia="仿宋_GB2312"/>
          <w:sz w:val="32"/>
          <w:szCs w:val="32"/>
          <w:lang w:val="en-US" w:eastAsia="zh-CN"/>
        </w:rPr>
        <w:t>本单</w:t>
      </w:r>
      <w:r>
        <w:rPr>
          <w:rFonts w:hint="eastAsia" w:ascii="仿宋_GB2312" w:eastAsia="仿宋_GB2312"/>
          <w:sz w:val="32"/>
          <w:szCs w:val="32"/>
          <w:highlight w:val="none"/>
          <w:lang w:val="en-US" w:eastAsia="zh-CN"/>
        </w:rPr>
        <w:t>位为2023年</w:t>
      </w:r>
      <w:r>
        <w:rPr>
          <w:rFonts w:hint="eastAsia" w:ascii="仿宋_GB2312" w:eastAsia="仿宋_GB2312"/>
          <w:sz w:val="32"/>
          <w:szCs w:val="32"/>
          <w:lang w:val="en-US" w:eastAsia="zh-CN"/>
        </w:rPr>
        <w:t>新成立的预算单位</w:t>
      </w:r>
      <w:r>
        <w:rPr>
          <w:rFonts w:hint="eastAsia" w:ascii="仿宋_GB2312" w:eastAsia="仿宋_GB2312"/>
          <w:sz w:val="32"/>
          <w:szCs w:val="32"/>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bookmarkStart w:id="6" w:name="_GoBack"/>
      <w:bookmarkEnd w:id="6"/>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湟源县新农村建设服务中心各单位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湟源县新农村建设服务中心所属各预算单位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湟源县新农村建设服务中心</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465.00</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r>
        <w:rPr>
          <w:rFonts w:hint="eastAsia" w:ascii="黑体" w:hAnsi="宋体" w:eastAsia="黑体" w:cs="黑体"/>
          <w:b/>
          <w:bCs/>
          <w:i w:val="0"/>
          <w:iCs w:val="0"/>
          <w:color w:val="000000"/>
          <w:kern w:val="0"/>
          <w:sz w:val="32"/>
          <w:szCs w:val="32"/>
          <w:u w:val="none"/>
          <w:lang w:val="en-US" w:eastAsia="zh-CN" w:bidi="ar"/>
        </w:rPr>
        <w:br w:type="page"/>
      </w:r>
    </w:p>
    <w:tbl>
      <w:tblPr>
        <w:tblStyle w:val="8"/>
        <w:tblW w:w="101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9"/>
        <w:gridCol w:w="987"/>
        <w:gridCol w:w="1538"/>
        <w:gridCol w:w="700"/>
        <w:gridCol w:w="812"/>
        <w:gridCol w:w="1850"/>
        <w:gridCol w:w="950"/>
        <w:gridCol w:w="975"/>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jc w:val="center"/>
        </w:trPr>
        <w:tc>
          <w:tcPr>
            <w:tcW w:w="1018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944"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新农村服务中心工作经费</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新农村服务中心工作经费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质量指标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完成2023年度工作任务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完成2023年度工作任务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新农村服务中心高原美丽乡村建设项目县级配套资金</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450.00</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高原美丽乡村建设项目</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数量指标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完成18个高原美丽乡村建设</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社会效益指标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完成18个高原美丽乡村建设</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服务对象满意度指标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8"/>
                <w:lang w:val="en-US" w:eastAsia="zh-CN" w:bidi="ar"/>
              </w:rPr>
              <w:t>满意度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both"/>
        <w:rPr>
          <w:rFonts w:ascii="仿宋_GB2312" w:eastAsia="仿宋_GB2312"/>
          <w:b/>
          <w:sz w:val="32"/>
          <w:szCs w:val="32"/>
        </w:rPr>
      </w:pPr>
    </w:p>
    <w:p>
      <w:pPr>
        <w:jc w:val="center"/>
        <w:rPr>
          <w:rFonts w:hint="eastAsia" w:ascii="仿宋_GB2312" w:eastAsia="仿宋_GB2312"/>
          <w:b/>
          <w:sz w:val="32"/>
          <w:szCs w:val="32"/>
        </w:rPr>
      </w:pPr>
    </w:p>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（一）社会保障和就业支出（类）行政事业单位养老支出（款）机关事业单位基本养老保险缴费支出（项）：</w:t>
      </w:r>
      <w:r>
        <w:rPr>
          <w:rFonts w:hint="eastAsia" w:ascii="仿宋_GB2312" w:hAnsi="仿宋" w:eastAsia="仿宋_GB2312" w:cs="Times New Roman"/>
          <w:bCs/>
          <w:spacing w:val="-6"/>
          <w:sz w:val="32"/>
          <w:szCs w:val="32"/>
        </w:rPr>
        <w:t>指机关事业单位实施养老保险制度由单位缴纳的基本养老保险费支出。</w:t>
      </w:r>
    </w:p>
    <w:p>
      <w:pPr>
        <w:ind w:firstLine="619" w:firstLineChars="200"/>
        <w:rPr>
          <w:rFonts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（二）社会保障和就业支出（类）行政事业单位养老支出（款）机关事业单位职业年金缴费支出（项）：</w:t>
      </w:r>
      <w:r>
        <w:rPr>
          <w:rFonts w:hint="eastAsia" w:ascii="仿宋_GB2312" w:hAnsi="仿宋" w:eastAsia="仿宋_GB2312" w:cs="Times New Roman"/>
          <w:bCs/>
          <w:spacing w:val="-6"/>
          <w:sz w:val="32"/>
          <w:szCs w:val="32"/>
        </w:rPr>
        <w:t>指机关事业单位实施养老保险制度由单位实际缴纳的职业年金支出。</w:t>
      </w:r>
    </w:p>
    <w:p>
      <w:pPr>
        <w:ind w:firstLine="619" w:firstLineChars="200"/>
        <w:rPr>
          <w:rFonts w:hint="eastAsia" w:ascii="仿宋_GB2312" w:hAnsi="仿宋" w:eastAsia="仿宋_GB2312" w:cs="Times New Roman"/>
          <w:bCs/>
          <w:spacing w:val="-6"/>
          <w:sz w:val="32"/>
          <w:szCs w:val="32"/>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三</w:t>
      </w:r>
      <w:r>
        <w:rPr>
          <w:rFonts w:hint="eastAsia" w:ascii="仿宋_GB2312" w:hAnsi="仿宋" w:eastAsia="仿宋_GB2312" w:cs="Times New Roman"/>
          <w:b/>
          <w:spacing w:val="-6"/>
          <w:sz w:val="32"/>
          <w:szCs w:val="32"/>
        </w:rPr>
        <w:t>）社会保障和就业支出（类）其他社会保障和就业支出（款）其他社会保障和就业支出（项）：</w:t>
      </w:r>
      <w:r>
        <w:rPr>
          <w:rFonts w:hint="eastAsia" w:ascii="仿宋_GB2312" w:hAnsi="仿宋" w:eastAsia="仿宋_GB2312" w:cs="Times New Roman"/>
          <w:bCs/>
          <w:spacing w:val="-6"/>
          <w:sz w:val="32"/>
          <w:szCs w:val="32"/>
          <w:lang w:val="en-US" w:eastAsia="zh-CN"/>
        </w:rPr>
        <w:t>指</w:t>
      </w:r>
      <w:r>
        <w:rPr>
          <w:rFonts w:hint="eastAsia" w:ascii="仿宋_GB2312" w:hAnsi="仿宋" w:eastAsia="仿宋_GB2312" w:cs="Times New Roman"/>
          <w:bCs/>
          <w:spacing w:val="-6"/>
          <w:sz w:val="32"/>
          <w:szCs w:val="32"/>
        </w:rPr>
        <w:t>除上述项目以外其他用于社会保障和就业方面的支出。</w:t>
      </w:r>
    </w:p>
    <w:p>
      <w:pPr>
        <w:numPr>
          <w:ilvl w:val="0"/>
          <w:numId w:val="0"/>
        </w:numPr>
        <w:ind w:firstLine="619" w:firstLineChars="200"/>
        <w:rPr>
          <w:rFonts w:hint="eastAsia" w:ascii="仿宋_GB2312" w:hAnsi="仿宋" w:eastAsia="仿宋_GB2312" w:cs="Times New Roman"/>
          <w:b/>
          <w:spacing w:val="-6"/>
          <w:sz w:val="32"/>
          <w:szCs w:val="32"/>
          <w:lang w:val="en-US" w:eastAsia="zh-CN"/>
        </w:rPr>
      </w:pPr>
      <w:r>
        <w:rPr>
          <w:rFonts w:hint="eastAsia" w:ascii="仿宋_GB2312" w:hAnsi="仿宋" w:eastAsia="仿宋_GB2312" w:cs="Times New Roman"/>
          <w:b/>
          <w:spacing w:val="-6"/>
          <w:sz w:val="32"/>
          <w:szCs w:val="32"/>
          <w:lang w:val="en-US" w:eastAsia="zh-CN"/>
        </w:rPr>
        <w:t>（四）卫生健康支出（类）行政事业单位医疗（款）事业单位医疗（项）：</w:t>
      </w:r>
      <w:r>
        <w:rPr>
          <w:rFonts w:hint="eastAsia" w:ascii="仿宋_GB2312" w:hAnsi="Times New Roman" w:eastAsia="仿宋_GB2312" w:cs="Times New Roman"/>
          <w:sz w:val="32"/>
          <w:szCs w:val="32"/>
          <w:lang w:val="en-US" w:eastAsia="zh-CN"/>
        </w:rPr>
        <w:t>指财政部门安排的事业单位基本医疗保险缴费经费，未参加医疗保险的事业单位的公费医疗经费，按国家规定享受离休人员待遇的医疗经费。</w:t>
      </w:r>
    </w:p>
    <w:p>
      <w:pPr>
        <w:numPr>
          <w:ilvl w:val="0"/>
          <w:numId w:val="0"/>
        </w:numPr>
        <w:ind w:firstLine="619" w:firstLineChars="200"/>
        <w:rPr>
          <w:rFonts w:hint="eastAsia" w:ascii="仿宋_GB2312" w:hAnsi="Times New Roman" w:eastAsia="仿宋_GB2312" w:cs="Times New Roman"/>
          <w:sz w:val="32"/>
          <w:szCs w:val="32"/>
          <w:lang w:val="en-US" w:eastAsia="zh-CN"/>
        </w:rPr>
      </w:pPr>
      <w:r>
        <w:rPr>
          <w:rFonts w:hint="eastAsia" w:ascii="仿宋_GB2312" w:hAnsi="仿宋" w:eastAsia="仿宋_GB2312" w:cs="Times New Roman"/>
          <w:b/>
          <w:spacing w:val="-6"/>
          <w:sz w:val="32"/>
          <w:szCs w:val="32"/>
          <w:lang w:val="en-US" w:eastAsia="zh-CN"/>
        </w:rPr>
        <w:t>（五）卫生健康支出（类）行政事业单位医疗（款）公务员医疗补助（项）：</w:t>
      </w:r>
      <w:r>
        <w:rPr>
          <w:rFonts w:hint="eastAsia" w:ascii="仿宋_GB2312" w:hAnsi="Times New Roman" w:eastAsia="仿宋_GB2312" w:cs="Times New Roman"/>
          <w:sz w:val="32"/>
          <w:szCs w:val="32"/>
          <w:lang w:val="en-US" w:eastAsia="zh-CN"/>
        </w:rPr>
        <w:t>指财政部门安排的公务员医疗补助经费。</w:t>
      </w:r>
    </w:p>
    <w:p>
      <w:pPr>
        <w:ind w:firstLine="619" w:firstLineChars="200"/>
        <w:rPr>
          <w:rFonts w:hint="eastAsia" w:ascii="仿宋_GB2312" w:hAnsi="仿宋" w:eastAsia="仿宋_GB2312"/>
          <w:b/>
          <w:spacing w:val="-6"/>
          <w:sz w:val="32"/>
          <w:szCs w:val="32"/>
          <w:lang w:eastAsia="zh-CN"/>
        </w:rPr>
      </w:pPr>
      <w:r>
        <w:rPr>
          <w:rFonts w:hint="eastAsia" w:ascii="仿宋_GB2312" w:hAnsi="仿宋" w:eastAsia="仿宋_GB2312"/>
          <w:b/>
          <w:spacing w:val="-6"/>
          <w:sz w:val="32"/>
          <w:szCs w:val="32"/>
          <w:lang w:eastAsia="zh-CN"/>
        </w:rPr>
        <w:t>（</w:t>
      </w:r>
      <w:r>
        <w:rPr>
          <w:rFonts w:hint="eastAsia" w:ascii="仿宋_GB2312" w:hAnsi="仿宋" w:eastAsia="仿宋_GB2312"/>
          <w:b/>
          <w:spacing w:val="-6"/>
          <w:sz w:val="32"/>
          <w:szCs w:val="32"/>
          <w:lang w:val="en-US" w:eastAsia="zh-CN"/>
        </w:rPr>
        <w:t>六）</w:t>
      </w:r>
      <w:r>
        <w:rPr>
          <w:rFonts w:hint="eastAsia" w:ascii="仿宋_GB2312" w:hAnsi="仿宋" w:eastAsia="仿宋_GB2312"/>
          <w:b/>
          <w:spacing w:val="-6"/>
          <w:sz w:val="32"/>
          <w:szCs w:val="32"/>
        </w:rPr>
        <w:t>农林水支出（类）农村综合改革（款）其他农村综合改革支出（项）</w:t>
      </w:r>
      <w:r>
        <w:rPr>
          <w:rFonts w:hint="eastAsia" w:ascii="仿宋_GB2312" w:hAnsi="仿宋" w:eastAsia="仿宋_GB2312"/>
          <w:b/>
          <w:spacing w:val="-6"/>
          <w:sz w:val="32"/>
          <w:szCs w:val="32"/>
          <w:lang w:eastAsia="zh-CN"/>
        </w:rPr>
        <w:t>：</w:t>
      </w:r>
      <w:r>
        <w:rPr>
          <w:rFonts w:hint="eastAsia" w:ascii="仿宋_GB2312" w:hAnsi="仿宋" w:eastAsia="仿宋_GB2312"/>
          <w:b w:val="0"/>
          <w:bCs/>
          <w:spacing w:val="-6"/>
          <w:sz w:val="32"/>
          <w:szCs w:val="32"/>
          <w:lang w:eastAsia="zh-CN"/>
        </w:rPr>
        <w:t>反映上述项目以外其他用于农村综合改革方面的支出。</w:t>
      </w:r>
    </w:p>
    <w:p>
      <w:pPr>
        <w:ind w:firstLine="619" w:firstLineChars="200"/>
        <w:rPr>
          <w:rFonts w:hint="eastAsia" w:ascii="仿宋_GB2312" w:hAnsi="Times New Roman" w:eastAsia="仿宋_GB2312" w:cs="Times New Roman"/>
          <w:sz w:val="32"/>
          <w:szCs w:val="32"/>
          <w:lang w:eastAsia="zh-CN"/>
        </w:rPr>
      </w:pPr>
      <w:r>
        <w:rPr>
          <w:rFonts w:hint="eastAsia" w:ascii="仿宋_GB2312" w:hAnsi="仿宋" w:eastAsia="仿宋_GB2312" w:cs="Times New Roman"/>
          <w:b/>
          <w:spacing w:val="-6"/>
          <w:sz w:val="32"/>
          <w:szCs w:val="32"/>
        </w:rPr>
        <w:t>（</w:t>
      </w:r>
      <w:r>
        <w:rPr>
          <w:rFonts w:hint="eastAsia" w:ascii="仿宋_GB2312" w:hAnsi="仿宋" w:eastAsia="仿宋_GB2312" w:cs="Times New Roman"/>
          <w:b/>
          <w:spacing w:val="-6"/>
          <w:sz w:val="32"/>
          <w:szCs w:val="32"/>
          <w:lang w:val="en-US" w:eastAsia="zh-CN"/>
        </w:rPr>
        <w:t>七</w:t>
      </w:r>
      <w:r>
        <w:rPr>
          <w:rFonts w:hint="eastAsia" w:ascii="仿宋_GB2312" w:hAnsi="仿宋" w:eastAsia="仿宋_GB2312" w:cs="Times New Roman"/>
          <w:b/>
          <w:spacing w:val="-6"/>
          <w:sz w:val="32"/>
          <w:szCs w:val="32"/>
        </w:rPr>
        <w:t>）住房保障支出（类）住房改革支出（款）住房公积金（项）：</w:t>
      </w:r>
      <w:r>
        <w:rPr>
          <w:rFonts w:hint="eastAsia" w:ascii="仿宋_GB2312" w:hAnsi="仿宋" w:eastAsia="仿宋_GB2312" w:cs="Times New Roman"/>
          <w:bCs/>
          <w:spacing w:val="-6"/>
          <w:sz w:val="32"/>
          <w:szCs w:val="32"/>
        </w:rPr>
        <w:t>指行政事业单位按人力资源和社会保障部、财政部规定的基本工资和津贴补贴以及规定比例为职工缴纳的住房公积金。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ascii="仿宋_GB2312" w:eastAsia="仿宋_GB2312"/>
          <w:i/>
          <w:color w:val="000000"/>
          <w:sz w:val="30"/>
          <w:szCs w:val="30"/>
          <w:u w:val="single"/>
          <w:lang w:eastAsia="zh-CN"/>
        </w:rPr>
      </w:pPr>
      <w:r>
        <w:rPr>
          <w:rFonts w:hint="eastAsia" w:ascii="仿宋_GB2312" w:eastAsia="仿宋_GB2312"/>
          <w:sz w:val="32"/>
          <w:szCs w:val="32"/>
          <w:lang w:val="en-US" w:eastAsia="zh-CN"/>
        </w:rPr>
        <w:t>无。</w:t>
      </w:r>
    </w:p>
    <w:p>
      <w:pPr>
        <w:adjustRightInd w:val="0"/>
        <w:snapToGrid w:val="0"/>
        <w:spacing w:line="560" w:lineRule="exact"/>
        <w:ind w:firstLine="420" w:firstLineChars="200"/>
        <w:rPr>
          <w:rFonts w:hint="eastAsia"/>
        </w:rPr>
      </w:pP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15</w:t>
    </w:r>
    <w:r>
      <w:rPr>
        <w:rStyle w:val="10"/>
      </w:rPr>
      <w:fldChar w:fldCharType="end"/>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3C410"/>
    <w:multiLevelType w:val="singleLevel"/>
    <w:tmpl w:val="17A3C41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63C42"/>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074E0"/>
    <w:rsid w:val="069A0522"/>
    <w:rsid w:val="06D03D80"/>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B53F43"/>
    <w:rsid w:val="0AE75B3C"/>
    <w:rsid w:val="0AE95411"/>
    <w:rsid w:val="0AF344E1"/>
    <w:rsid w:val="0AFD2C6A"/>
    <w:rsid w:val="0AFD318D"/>
    <w:rsid w:val="0B9335CE"/>
    <w:rsid w:val="0B9F575C"/>
    <w:rsid w:val="0BAB6B6A"/>
    <w:rsid w:val="0BBF43C3"/>
    <w:rsid w:val="0BE718B9"/>
    <w:rsid w:val="0C1666D9"/>
    <w:rsid w:val="0C33338D"/>
    <w:rsid w:val="0C3837AD"/>
    <w:rsid w:val="0C461B4F"/>
    <w:rsid w:val="0C8A6A4D"/>
    <w:rsid w:val="0CB620EA"/>
    <w:rsid w:val="0CBF274A"/>
    <w:rsid w:val="0CE83E39"/>
    <w:rsid w:val="0D10137A"/>
    <w:rsid w:val="0D103128"/>
    <w:rsid w:val="0D190642"/>
    <w:rsid w:val="0D1F15BD"/>
    <w:rsid w:val="0D347D03"/>
    <w:rsid w:val="0D4C7ED9"/>
    <w:rsid w:val="0D8E04F1"/>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3F5346E"/>
    <w:rsid w:val="14264FE0"/>
    <w:rsid w:val="142B6A9A"/>
    <w:rsid w:val="14357918"/>
    <w:rsid w:val="145C4EA5"/>
    <w:rsid w:val="14717BEF"/>
    <w:rsid w:val="14A405FA"/>
    <w:rsid w:val="14B52807"/>
    <w:rsid w:val="14C10AEB"/>
    <w:rsid w:val="14D25941"/>
    <w:rsid w:val="14E76E65"/>
    <w:rsid w:val="15080666"/>
    <w:rsid w:val="1509227B"/>
    <w:rsid w:val="15145780"/>
    <w:rsid w:val="156F29B6"/>
    <w:rsid w:val="15891CCA"/>
    <w:rsid w:val="159266A5"/>
    <w:rsid w:val="15B773A6"/>
    <w:rsid w:val="15CF16A7"/>
    <w:rsid w:val="15D31197"/>
    <w:rsid w:val="15D346A7"/>
    <w:rsid w:val="15E769F0"/>
    <w:rsid w:val="15EA028F"/>
    <w:rsid w:val="16041DC2"/>
    <w:rsid w:val="160937DE"/>
    <w:rsid w:val="16A058AD"/>
    <w:rsid w:val="16BF796D"/>
    <w:rsid w:val="16D25BF8"/>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EA2F53"/>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CD6688"/>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7E40DE"/>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401D20"/>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421E95"/>
    <w:rsid w:val="255B2F57"/>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283150"/>
    <w:rsid w:val="293D4E4D"/>
    <w:rsid w:val="29422464"/>
    <w:rsid w:val="299965AB"/>
    <w:rsid w:val="29B175E9"/>
    <w:rsid w:val="29CB06AB"/>
    <w:rsid w:val="29DC2957"/>
    <w:rsid w:val="2A703001"/>
    <w:rsid w:val="2A9D2EAF"/>
    <w:rsid w:val="2ADF44BC"/>
    <w:rsid w:val="2B24409F"/>
    <w:rsid w:val="2B3D7387"/>
    <w:rsid w:val="2B467F3F"/>
    <w:rsid w:val="2B681F2A"/>
    <w:rsid w:val="2BA411B4"/>
    <w:rsid w:val="2BA84A00"/>
    <w:rsid w:val="2BAA0794"/>
    <w:rsid w:val="2BAF1907"/>
    <w:rsid w:val="2BBE7D9C"/>
    <w:rsid w:val="2BD2547C"/>
    <w:rsid w:val="2C165AE7"/>
    <w:rsid w:val="2C4633EA"/>
    <w:rsid w:val="2C640943"/>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52A96"/>
    <w:rsid w:val="31172428"/>
    <w:rsid w:val="3119625B"/>
    <w:rsid w:val="31524179"/>
    <w:rsid w:val="31741628"/>
    <w:rsid w:val="317E4255"/>
    <w:rsid w:val="318B6972"/>
    <w:rsid w:val="319121DA"/>
    <w:rsid w:val="31A041CB"/>
    <w:rsid w:val="31D16A7B"/>
    <w:rsid w:val="31EF0CAF"/>
    <w:rsid w:val="31F76527"/>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621F23"/>
    <w:rsid w:val="3790083E"/>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A14898"/>
    <w:rsid w:val="3CEF6007"/>
    <w:rsid w:val="3D000214"/>
    <w:rsid w:val="3D0A4BEF"/>
    <w:rsid w:val="3D4445A5"/>
    <w:rsid w:val="3D6C7658"/>
    <w:rsid w:val="3D704D42"/>
    <w:rsid w:val="3D8F1791"/>
    <w:rsid w:val="3D9F4236"/>
    <w:rsid w:val="3DBB586E"/>
    <w:rsid w:val="3DFE308E"/>
    <w:rsid w:val="3E043D34"/>
    <w:rsid w:val="3E3B41B2"/>
    <w:rsid w:val="3E416D36"/>
    <w:rsid w:val="3E436887"/>
    <w:rsid w:val="3E5E28CF"/>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C77B5"/>
    <w:rsid w:val="403F5BFA"/>
    <w:rsid w:val="4047615A"/>
    <w:rsid w:val="40583EC3"/>
    <w:rsid w:val="40D519B8"/>
    <w:rsid w:val="40DE086C"/>
    <w:rsid w:val="40E81285"/>
    <w:rsid w:val="419A2DBD"/>
    <w:rsid w:val="41E2613A"/>
    <w:rsid w:val="41F30347"/>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4E1FF0"/>
    <w:rsid w:val="46933EA7"/>
    <w:rsid w:val="469F0913"/>
    <w:rsid w:val="46AC58E1"/>
    <w:rsid w:val="4723522B"/>
    <w:rsid w:val="47411B55"/>
    <w:rsid w:val="4760647F"/>
    <w:rsid w:val="47CB42B8"/>
    <w:rsid w:val="47ED5839"/>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9C402E"/>
    <w:rsid w:val="4AA414CB"/>
    <w:rsid w:val="4AB24984"/>
    <w:rsid w:val="4AD827D0"/>
    <w:rsid w:val="4AD8457E"/>
    <w:rsid w:val="4B074E64"/>
    <w:rsid w:val="4B276F69"/>
    <w:rsid w:val="4B3A7D12"/>
    <w:rsid w:val="4B571947"/>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5C28A8"/>
    <w:rsid w:val="4E8F13F8"/>
    <w:rsid w:val="4EA336D8"/>
    <w:rsid w:val="4EA36C51"/>
    <w:rsid w:val="4EC217CD"/>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52B27"/>
    <w:rsid w:val="517A1653"/>
    <w:rsid w:val="517E2B19"/>
    <w:rsid w:val="517E430A"/>
    <w:rsid w:val="51BA49DE"/>
    <w:rsid w:val="51C27D36"/>
    <w:rsid w:val="5202788D"/>
    <w:rsid w:val="52302EF2"/>
    <w:rsid w:val="523072B3"/>
    <w:rsid w:val="524644C3"/>
    <w:rsid w:val="52552958"/>
    <w:rsid w:val="52691F60"/>
    <w:rsid w:val="528462EE"/>
    <w:rsid w:val="529E01D6"/>
    <w:rsid w:val="52B94C95"/>
    <w:rsid w:val="52BE405A"/>
    <w:rsid w:val="52D7511B"/>
    <w:rsid w:val="535B1F07"/>
    <w:rsid w:val="537B67F9"/>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0764A3"/>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5835B4"/>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481B92"/>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3E149E"/>
    <w:rsid w:val="64576DFD"/>
    <w:rsid w:val="64654C7D"/>
    <w:rsid w:val="64664AA2"/>
    <w:rsid w:val="648A0240"/>
    <w:rsid w:val="648D1FCA"/>
    <w:rsid w:val="648D3899"/>
    <w:rsid w:val="64BD0615"/>
    <w:rsid w:val="65200BA4"/>
    <w:rsid w:val="653D3504"/>
    <w:rsid w:val="654E26AF"/>
    <w:rsid w:val="657C4DAA"/>
    <w:rsid w:val="65842EE1"/>
    <w:rsid w:val="65965345"/>
    <w:rsid w:val="65A6554D"/>
    <w:rsid w:val="65D379C4"/>
    <w:rsid w:val="65D73958"/>
    <w:rsid w:val="65E505B2"/>
    <w:rsid w:val="65E73470"/>
    <w:rsid w:val="65F82495"/>
    <w:rsid w:val="660404C6"/>
    <w:rsid w:val="663721A5"/>
    <w:rsid w:val="665E1984"/>
    <w:rsid w:val="66A77ED0"/>
    <w:rsid w:val="66B23A7E"/>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AA933EA"/>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3552"/>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394D3C"/>
    <w:rsid w:val="6F4E16D7"/>
    <w:rsid w:val="6F5002D8"/>
    <w:rsid w:val="6F814935"/>
    <w:rsid w:val="6FAD71DC"/>
    <w:rsid w:val="6FB9606E"/>
    <w:rsid w:val="6FCD1928"/>
    <w:rsid w:val="6FD40F09"/>
    <w:rsid w:val="6FD607DD"/>
    <w:rsid w:val="6FF664A7"/>
    <w:rsid w:val="7007308C"/>
    <w:rsid w:val="70281CF1"/>
    <w:rsid w:val="70425E72"/>
    <w:rsid w:val="705160B5"/>
    <w:rsid w:val="707F6E74"/>
    <w:rsid w:val="709C4DBC"/>
    <w:rsid w:val="70A24B63"/>
    <w:rsid w:val="71283BDB"/>
    <w:rsid w:val="713F0604"/>
    <w:rsid w:val="7141437C"/>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3E07E7C"/>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5E6196"/>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9C0875"/>
    <w:rsid w:val="7AA5772A"/>
    <w:rsid w:val="7AA716F4"/>
    <w:rsid w:val="7AE364A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132EB6"/>
    <w:rsid w:val="7D28412D"/>
    <w:rsid w:val="7D474AC8"/>
    <w:rsid w:val="7D4C20DE"/>
    <w:rsid w:val="7D621902"/>
    <w:rsid w:val="7D715FE9"/>
    <w:rsid w:val="7D9D0B8C"/>
    <w:rsid w:val="7DDA593C"/>
    <w:rsid w:val="7E6C1E82"/>
    <w:rsid w:val="7E7E09BD"/>
    <w:rsid w:val="7E941F8F"/>
    <w:rsid w:val="7EA128FE"/>
    <w:rsid w:val="7EA6685A"/>
    <w:rsid w:val="7EBC79B7"/>
    <w:rsid w:val="7EF7251E"/>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widowControl/>
      <w:adjustRightInd/>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toc 5"/>
    <w:basedOn w:val="1"/>
    <w:next w:val="1"/>
    <w:qFormat/>
    <w:uiPriority w:val="0"/>
    <w:pPr>
      <w:ind w:left="1680" w:leftChars="800"/>
    </w:pPr>
  </w:style>
  <w:style w:type="paragraph" w:styleId="5">
    <w:name w:val="Balloon Text"/>
    <w:basedOn w:val="1"/>
    <w:link w:val="11"/>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批注框文本 Char"/>
    <w:link w:val="5"/>
    <w:semiHidden/>
    <w:qFormat/>
    <w:uiPriority w:val="99"/>
    <w:rPr>
      <w:rFonts w:ascii="Times New Roman" w:hAnsi="Times New Roman"/>
      <w:kern w:val="2"/>
      <w:sz w:val="18"/>
      <w:szCs w:val="18"/>
    </w:rPr>
  </w:style>
  <w:style w:type="character" w:customStyle="1" w:styleId="12">
    <w:name w:val="页脚 Char"/>
    <w:link w:val="6"/>
    <w:qFormat/>
    <w:uiPriority w:val="99"/>
    <w:rPr>
      <w:rFonts w:ascii="Times New Roman" w:hAnsi="Times New Roman"/>
      <w:kern w:val="2"/>
      <w:sz w:val="18"/>
      <w:szCs w:val="18"/>
    </w:rPr>
  </w:style>
  <w:style w:type="character" w:customStyle="1" w:styleId="13">
    <w:name w:val="页眉 Char"/>
    <w:link w:val="7"/>
    <w:qFormat/>
    <w:uiPriority w:val="99"/>
    <w:rPr>
      <w:rFonts w:ascii="Times New Roman" w:hAnsi="Times New Roman"/>
      <w:kern w:val="2"/>
      <w:sz w:val="18"/>
      <w:szCs w:val="18"/>
    </w:rPr>
  </w:style>
  <w:style w:type="paragraph" w:styleId="14">
    <w:name w:val="List Paragraph"/>
    <w:basedOn w:val="1"/>
    <w:qFormat/>
    <w:uiPriority w:val="34"/>
    <w:pPr>
      <w:ind w:firstLine="420" w:firstLineChars="200"/>
    </w:pPr>
  </w:style>
  <w:style w:type="paragraph" w:styleId="15">
    <w:name w:val="No Spacing"/>
    <w:link w:val="16"/>
    <w:qFormat/>
    <w:uiPriority w:val="0"/>
    <w:rPr>
      <w:rFonts w:ascii="Calibri" w:hAnsi="Calibri" w:eastAsia="宋体" w:cs="Times New Roman"/>
      <w:sz w:val="22"/>
      <w:szCs w:val="22"/>
      <w:lang w:val="en-US" w:eastAsia="zh-CN" w:bidi="ar-SA"/>
    </w:rPr>
  </w:style>
  <w:style w:type="character" w:customStyle="1" w:styleId="16">
    <w:name w:val="无间隔 Char"/>
    <w:link w:val="15"/>
    <w:qFormat/>
    <w:uiPriority w:val="0"/>
    <w:rPr>
      <w:sz w:val="22"/>
      <w:szCs w:val="22"/>
      <w:lang w:bidi="ar-SA"/>
    </w:rPr>
  </w:style>
  <w:style w:type="paragraph" w:customStyle="1" w:styleId="17">
    <w:name w:val="正文1"/>
    <w:basedOn w:val="1"/>
    <w:qFormat/>
    <w:uiPriority w:val="0"/>
    <w:pPr>
      <w:widowControl/>
    </w:pPr>
    <w:rPr>
      <w:rFonts w:eastAsia="Times New Roman"/>
      <w:kern w:val="0"/>
      <w:lang w:val="zh-CN"/>
    </w:rPr>
  </w:style>
  <w:style w:type="character" w:customStyle="1" w:styleId="18">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6258</Words>
  <Characters>7443</Characters>
  <Lines>43</Lines>
  <Paragraphs>12</Paragraphs>
  <TotalTime>0</TotalTime>
  <ScaleCrop>false</ScaleCrop>
  <LinksUpToDate>false</LinksUpToDate>
  <CharactersWithSpaces>7542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2023-06-08T08:05:24Z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1E213A3D7B114E4D923F502F52B68F79_13</vt:lpwstr>
  </property>
</Properties>
</file>