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jc w:val="center"/>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2880" w:hRule="atLeast"/>
          <w:jc w:val="center"/>
        </w:trPr>
        <w:tc>
          <w:tcPr>
            <w:tcW w:w="5000" w:type="pct"/>
          </w:tcPr>
          <w:p>
            <w:pPr>
              <w:pStyle w:val="12"/>
              <w:rPr>
                <w:rFonts w:ascii="仿宋_GB2312" w:hAnsi="Cambria" w:eastAsia="仿宋_GB2312"/>
                <w:caps/>
                <w:sz w:val="28"/>
                <w:szCs w:val="28"/>
              </w:rPr>
            </w:pPr>
          </w:p>
        </w:tc>
      </w:tr>
      <w:tr>
        <w:trPr>
          <w:trHeight w:val="1440" w:hRule="atLeast"/>
          <w:jc w:val="center"/>
        </w:trPr>
        <w:tc>
          <w:tcPr>
            <w:tcW w:w="5000" w:type="pct"/>
            <w:tcBorders>
              <w:bottom w:val="single" w:color="4F81BD" w:sz="4" w:space="0"/>
            </w:tcBorders>
            <w:vAlign w:val="center"/>
          </w:tcPr>
          <w:p>
            <w:pPr>
              <w:pStyle w:val="12"/>
              <w:jc w:val="center"/>
              <w:rPr>
                <w:rFonts w:ascii="Cambria" w:hAnsi="Cambria"/>
                <w:b/>
                <w:sz w:val="80"/>
                <w:szCs w:val="80"/>
              </w:rPr>
            </w:pPr>
            <w:r>
              <w:rPr>
                <w:rFonts w:hint="eastAsia" w:ascii="Cambria" w:hAnsi="Cambria"/>
                <w:b/>
                <w:sz w:val="80"/>
                <w:szCs w:val="80"/>
              </w:rPr>
              <w:t>湟源县文体旅游局（本级）</w:t>
            </w:r>
          </w:p>
        </w:tc>
      </w:tr>
      <w:tr>
        <w:trPr>
          <w:trHeight w:val="720" w:hRule="atLeast"/>
          <w:jc w:val="center"/>
        </w:trPr>
        <w:tc>
          <w:tcPr>
            <w:tcW w:w="5000" w:type="pct"/>
            <w:tcBorders>
              <w:top w:val="single" w:color="4F81BD" w:sz="4" w:space="0"/>
            </w:tcBorders>
            <w:vAlign w:val="center"/>
          </w:tcPr>
          <w:p>
            <w:pPr>
              <w:pStyle w:val="12"/>
              <w:jc w:val="center"/>
              <w:rPr>
                <w:rFonts w:ascii="Cambria" w:hAnsi="Cambria"/>
                <w:sz w:val="44"/>
                <w:szCs w:val="44"/>
              </w:rPr>
            </w:pPr>
          </w:p>
        </w:tc>
      </w:tr>
      <w:tr>
        <w:trPr>
          <w:trHeight w:val="360" w:hRule="atLeast"/>
          <w:jc w:val="center"/>
        </w:trPr>
        <w:tc>
          <w:tcPr>
            <w:tcW w:w="5000" w:type="pct"/>
            <w:vAlign w:val="center"/>
          </w:tcPr>
          <w:p>
            <w:pPr>
              <w:pStyle w:val="12"/>
              <w:jc w:val="center"/>
            </w:pPr>
          </w:p>
        </w:tc>
      </w:tr>
    </w:tbl>
    <w:p/>
    <w:tbl>
      <w:tblPr>
        <w:tblStyle w:val="5"/>
        <w:tblpPr w:leftFromText="187" w:rightFromText="187" w:horzAnchor="margin" w:tblpXSpec="center" w:tblpYSpec="bottom"/>
        <w:tblW w:w="5000" w:type="pct"/>
        <w:tblInd w:w="0" w:type="dxa"/>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c>
          <w:tcPr>
            <w:tcW w:w="5000" w:type="pct"/>
          </w:tcPr>
          <w:p>
            <w:pPr>
              <w:pStyle w:val="12"/>
            </w:pPr>
          </w:p>
        </w:tc>
      </w:tr>
    </w:tbl>
    <w:p>
      <w:pPr>
        <w:jc w:val="center"/>
        <w:rPr>
          <w:rFonts w:ascii="华文琥珀" w:hAnsi="楷体" w:eastAsia="华文琥珀"/>
          <w:sz w:val="84"/>
          <w:szCs w:val="84"/>
        </w:rPr>
      </w:pPr>
      <w:r>
        <w:rPr>
          <w:rFonts w:hint="eastAsia" w:ascii="华文琥珀" w:hAnsi="楷体" w:eastAsia="华文琥珀"/>
          <w:sz w:val="84"/>
          <w:szCs w:val="84"/>
        </w:rPr>
        <w:t>2023</w:t>
      </w:r>
      <w:r>
        <w:rPr>
          <w:rFonts w:hint="eastAsia" w:ascii="华文琥珀" w:hAnsi="楷体" w:eastAsia="华文琥珀"/>
          <w:sz w:val="84"/>
          <w:szCs w:val="84"/>
          <w:lang w:val="zh-CN"/>
        </w:rPr>
        <w:t>年部门预算</w:t>
      </w:r>
    </w:p>
    <w:p/>
    <w:p/>
    <w:p/>
    <w:p/>
    <w:p/>
    <w:p/>
    <w:p/>
    <w:p/>
    <w:p/>
    <w:p/>
    <w:p/>
    <w:p/>
    <w:p/>
    <w:p/>
    <w:p/>
    <w:p/>
    <w:p/>
    <w:p/>
    <w:p>
      <w:pPr>
        <w:adjustRightInd w:val="0"/>
        <w:snapToGrid w:val="0"/>
        <w:spacing w:line="560" w:lineRule="exact"/>
        <w:jc w:val="center"/>
        <w:rPr>
          <w:rFonts w:ascii="仿宋" w:hAnsi="仿宋" w:eastAsia="仿宋"/>
          <w:color w:val="000000"/>
          <w:sz w:val="32"/>
          <w:szCs w:val="32"/>
        </w:rPr>
      </w:pPr>
    </w:p>
    <w:p>
      <w:pPr>
        <w:adjustRightInd w:val="0"/>
        <w:snapToGrid w:val="0"/>
        <w:spacing w:line="560" w:lineRule="exact"/>
        <w:ind w:firstLine="720" w:firstLineChars="200"/>
        <w:jc w:val="center"/>
        <w:rPr>
          <w:rFonts w:ascii="小标宋" w:eastAsia="小标宋"/>
          <w:color w:val="000000"/>
          <w:sz w:val="36"/>
          <w:szCs w:val="36"/>
        </w:rPr>
      </w:pPr>
      <w:r>
        <w:rPr>
          <w:rFonts w:hint="eastAsia" w:ascii="小标宋" w:eastAsia="小标宋"/>
          <w:color w:val="000000"/>
          <w:sz w:val="36"/>
          <w:szCs w:val="36"/>
        </w:rPr>
        <w:t>目   录</w:t>
      </w:r>
    </w:p>
    <w:p>
      <w:pPr>
        <w:adjustRightInd w:val="0"/>
        <w:snapToGrid w:val="0"/>
        <w:spacing w:line="560" w:lineRule="exact"/>
        <w:ind w:firstLine="720" w:firstLineChars="200"/>
        <w:jc w:val="center"/>
        <w:rPr>
          <w:rFonts w:ascii="小标宋" w:eastAsia="小标宋"/>
          <w:color w:val="000000"/>
          <w:sz w:val="36"/>
          <w:szCs w:val="36"/>
        </w:rPr>
      </w:pPr>
    </w:p>
    <w:p>
      <w:pPr>
        <w:adjustRightInd w:val="0"/>
        <w:snapToGrid w:val="0"/>
        <w:spacing w:line="560" w:lineRule="exact"/>
        <w:ind w:firstLine="643" w:firstLineChars="200"/>
        <w:rPr>
          <w:rFonts w:ascii="宋体" w:hAnsi="宋体"/>
          <w:b/>
          <w:color w:val="000000"/>
          <w:sz w:val="32"/>
          <w:szCs w:val="32"/>
        </w:rPr>
      </w:pPr>
      <w:r>
        <w:rPr>
          <w:rFonts w:hint="eastAsia" w:ascii="宋体" w:hAnsi="宋体"/>
          <w:b/>
          <w:color w:val="000000"/>
          <w:sz w:val="32"/>
          <w:szCs w:val="32"/>
        </w:rPr>
        <w:t>第一部分  部门概况</w:t>
      </w:r>
      <w:r>
        <w:rPr>
          <w:rFonts w:hint="eastAsia" w:ascii="宋体" w:hAnsi="宋体"/>
          <w:b/>
          <w:i/>
          <w:color w:val="000000"/>
          <w:sz w:val="32"/>
          <w:szCs w:val="32"/>
        </w:rPr>
        <w:t xml:space="preserve"> </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一、主要职能</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二、机构设置</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三、部门预算部门构成</w:t>
      </w:r>
    </w:p>
    <w:p>
      <w:pPr>
        <w:adjustRightInd w:val="0"/>
        <w:snapToGrid w:val="0"/>
        <w:spacing w:line="560" w:lineRule="exact"/>
        <w:ind w:firstLine="643" w:firstLineChars="200"/>
        <w:rPr>
          <w:rFonts w:ascii="宋体" w:hAnsi="宋体"/>
          <w:b/>
          <w:color w:val="000000"/>
          <w:sz w:val="32"/>
          <w:szCs w:val="32"/>
        </w:rPr>
      </w:pPr>
      <w:r>
        <w:rPr>
          <w:rFonts w:hint="eastAsia" w:ascii="宋体" w:hAnsi="宋体"/>
          <w:b/>
          <w:color w:val="000000"/>
          <w:sz w:val="32"/>
          <w:szCs w:val="32"/>
        </w:rPr>
        <w:t>第二部分  部门预算表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一、收支总表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二、收入总表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三、支出总表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四、财政拨款收支总表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五、一般公共预算支出表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六、一般公共预算基本支出表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七、一般公共预算“三公”经费支出表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八、政府性基金预算支出表</w:t>
      </w:r>
    </w:p>
    <w:p>
      <w:pPr>
        <w:adjustRightInd w:val="0"/>
        <w:snapToGrid w:val="0"/>
        <w:spacing w:line="560" w:lineRule="exact"/>
        <w:ind w:firstLine="643" w:firstLineChars="200"/>
        <w:rPr>
          <w:rFonts w:ascii="宋体" w:hAnsi="宋体"/>
          <w:b/>
          <w:color w:val="000000"/>
          <w:sz w:val="32"/>
          <w:szCs w:val="32"/>
        </w:rPr>
      </w:pPr>
      <w:r>
        <w:rPr>
          <w:rFonts w:hint="eastAsia" w:ascii="宋体" w:hAnsi="宋体"/>
          <w:b/>
          <w:color w:val="000000"/>
          <w:sz w:val="32"/>
          <w:szCs w:val="32"/>
        </w:rPr>
        <w:t xml:space="preserve">第三部分 </w:t>
      </w:r>
      <w:r>
        <w:rPr>
          <w:rFonts w:ascii="宋体" w:hAnsi="宋体"/>
          <w:b/>
          <w:color w:val="000000"/>
          <w:sz w:val="32"/>
          <w:szCs w:val="32"/>
        </w:rPr>
        <w:t xml:space="preserve"> </w:t>
      </w:r>
      <w:r>
        <w:rPr>
          <w:rFonts w:hint="eastAsia" w:ascii="宋体" w:hAnsi="宋体"/>
          <w:b/>
          <w:color w:val="000000"/>
          <w:sz w:val="32"/>
          <w:szCs w:val="32"/>
        </w:rPr>
        <w:t>部门预算情况说明</w:t>
      </w:r>
    </w:p>
    <w:p>
      <w:pPr>
        <w:adjustRightInd w:val="0"/>
        <w:snapToGrid w:val="0"/>
        <w:spacing w:line="560" w:lineRule="exact"/>
        <w:ind w:firstLine="643" w:firstLineChars="200"/>
        <w:rPr>
          <w:rFonts w:ascii="宋体" w:hAnsi="宋体"/>
          <w:b/>
          <w:color w:val="000000"/>
          <w:sz w:val="32"/>
          <w:szCs w:val="32"/>
        </w:rPr>
      </w:pPr>
      <w:r>
        <w:rPr>
          <w:rFonts w:hint="eastAsia" w:ascii="宋体" w:hAnsi="宋体"/>
          <w:b/>
          <w:color w:val="000000"/>
          <w:sz w:val="32"/>
          <w:szCs w:val="32"/>
        </w:rPr>
        <w:t xml:space="preserve">第四部分 </w:t>
      </w:r>
      <w:r>
        <w:rPr>
          <w:rFonts w:ascii="宋体" w:hAnsi="宋体"/>
          <w:b/>
          <w:color w:val="000000"/>
          <w:sz w:val="32"/>
          <w:szCs w:val="32"/>
        </w:rPr>
        <w:t xml:space="preserve"> </w:t>
      </w:r>
      <w:r>
        <w:rPr>
          <w:rFonts w:hint="eastAsia" w:ascii="宋体" w:hAnsi="宋体"/>
          <w:b/>
          <w:color w:val="000000"/>
          <w:sz w:val="32"/>
          <w:szCs w:val="32"/>
        </w:rPr>
        <w:t>名词解释</w:t>
      </w: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720" w:firstLineChars="200"/>
        <w:jc w:val="center"/>
        <w:rPr>
          <w:rFonts w:ascii="小标宋" w:eastAsia="小标宋"/>
          <w:b/>
          <w:color w:val="000000"/>
          <w:sz w:val="36"/>
          <w:szCs w:val="36"/>
        </w:rPr>
      </w:pPr>
      <w:r>
        <w:rPr>
          <w:rFonts w:hint="eastAsia" w:ascii="小标宋" w:eastAsia="小标宋"/>
          <w:b/>
          <w:color w:val="000000"/>
          <w:sz w:val="36"/>
          <w:szCs w:val="36"/>
        </w:rPr>
        <w:t>第一部分　部门概况</w:t>
      </w:r>
    </w:p>
    <w:p>
      <w:pPr>
        <w:adjustRightInd w:val="0"/>
        <w:snapToGrid w:val="0"/>
        <w:spacing w:line="560" w:lineRule="exact"/>
        <w:ind w:firstLine="600" w:firstLineChars="200"/>
        <w:rPr>
          <w:rFonts w:ascii="黑体" w:eastAsia="黑体"/>
          <w:color w:val="000000"/>
          <w:sz w:val="30"/>
          <w:szCs w:val="30"/>
        </w:rPr>
      </w:pPr>
    </w:p>
    <w:p>
      <w:pPr>
        <w:adjustRightInd w:val="0"/>
        <w:snapToGrid w:val="0"/>
        <w:spacing w:line="560" w:lineRule="exact"/>
        <w:ind w:firstLine="640" w:firstLineChars="200"/>
        <w:rPr>
          <w:rFonts w:ascii="黑体" w:hAnsi="宋体" w:eastAsia="黑体"/>
          <w:color w:val="000000"/>
          <w:sz w:val="32"/>
          <w:szCs w:val="32"/>
        </w:rPr>
      </w:pPr>
      <w:r>
        <w:rPr>
          <w:rFonts w:hint="eastAsia" w:ascii="黑体" w:hAnsi="宋体" w:eastAsia="黑体"/>
          <w:color w:val="000000"/>
          <w:sz w:val="32"/>
          <w:szCs w:val="32"/>
        </w:rPr>
        <w:t>一、主要职能</w:t>
      </w:r>
    </w:p>
    <w:p>
      <w:pPr>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一</w:t>
      </w:r>
      <w:r>
        <w:rPr>
          <w:rFonts w:hint="eastAsia" w:ascii="仿宋_GB2312" w:eastAsia="仿宋_GB2312"/>
          <w:sz w:val="32"/>
          <w:szCs w:val="32"/>
        </w:rPr>
        <w:t>）贯彻执行国家和省市县有关文化、旅游、体育的方针政策和法律法规；拟订县文化、旅游、体育发展规划并组织实施。</w:t>
      </w:r>
    </w:p>
    <w:p>
      <w:pPr>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二</w:t>
      </w:r>
      <w:r>
        <w:rPr>
          <w:rFonts w:hint="eastAsia" w:ascii="仿宋_GB2312" w:eastAsia="仿宋_GB2312"/>
          <w:sz w:val="32"/>
          <w:szCs w:val="32"/>
        </w:rPr>
        <w:t>）负责管理文化市场和旅游市场;负责文化旅游市场执法、文化交流和文化宣传工作。</w:t>
      </w:r>
    </w:p>
    <w:p>
      <w:pPr>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三</w:t>
      </w:r>
      <w:r>
        <w:rPr>
          <w:rFonts w:hint="eastAsia" w:ascii="仿宋_GB2312" w:eastAsia="仿宋_GB2312"/>
          <w:sz w:val="32"/>
          <w:szCs w:val="32"/>
        </w:rPr>
        <w:t>）负责非物质文化遗产保护规划工作并组织实施；负责非物质文化遗产保护和优秀民族民间文化的传承普及工作;负责文物管理和保护。</w:t>
      </w:r>
    </w:p>
    <w:p>
      <w:pPr>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四</w:t>
      </w:r>
      <w:r>
        <w:rPr>
          <w:rFonts w:hint="eastAsia" w:ascii="仿宋_GB2312" w:eastAsia="仿宋_GB2312"/>
          <w:sz w:val="32"/>
          <w:szCs w:val="32"/>
        </w:rPr>
        <w:t>）负责推动文化艺术、社会文化事业的发展；负责指导、协调文化产业发展；负责指导艺术创作与生产、图书馆、文化馆（站）事业和基层文化建设；负责组织和管理重大文化活动；监督指导文化旅游活动。</w:t>
      </w:r>
    </w:p>
    <w:p>
      <w:pPr>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五</w:t>
      </w:r>
      <w:r>
        <w:rPr>
          <w:rFonts w:hint="eastAsia" w:ascii="仿宋_GB2312" w:eastAsia="仿宋_GB2312"/>
          <w:sz w:val="32"/>
          <w:szCs w:val="32"/>
        </w:rPr>
        <w:t>）负责旅游整体形象宣传和重大推广营销活动；负责文化旅游与相关产业融合；指导、扶持重点旅游产品开发、策划，宣传重点旅游景区、景点和精品旅游线路。</w:t>
      </w:r>
    </w:p>
    <w:p>
      <w:pPr>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六</w:t>
      </w:r>
      <w:r>
        <w:rPr>
          <w:rFonts w:hint="eastAsia" w:ascii="仿宋_GB2312" w:eastAsia="仿宋_GB2312"/>
          <w:sz w:val="32"/>
          <w:szCs w:val="32"/>
        </w:rPr>
        <w:t>）负责旅游资源的普查、评估、规划、开发，建立旅游资源档案；负责拟订旅游资源保护方案并组织实施；编制和建立旅游基础设施建设项目库；负责旅游基础设施建设项目的实施；推进旅游休闲度假体系建设，分析旅游经济运行；负责旅游统计和信息发布。</w:t>
      </w:r>
    </w:p>
    <w:p>
      <w:pPr>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七</w:t>
      </w:r>
      <w:r>
        <w:rPr>
          <w:rFonts w:hint="eastAsia" w:ascii="仿宋_GB2312" w:eastAsia="仿宋_GB2312"/>
          <w:sz w:val="32"/>
          <w:szCs w:val="32"/>
        </w:rPr>
        <w:t>）承担规范旅游市场秩序、监督管理旅游服务质量、维护旅游消费者和经营者合法权益的责任；负责规范旅游企业和从业人员的经营和服务行为；建立健全旅游综合协调机制；完善旅游市场投诉和旅游安全保障机制；负责旅游安全的综合协调和监督管理；执行旅游区、旅游设施、旅游服务、旅游产品等方面的标准。</w:t>
      </w:r>
    </w:p>
    <w:p>
      <w:pPr>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八</w:t>
      </w:r>
      <w:r>
        <w:rPr>
          <w:rFonts w:hint="eastAsia" w:ascii="仿宋_GB2312" w:eastAsia="仿宋_GB2312"/>
          <w:sz w:val="32"/>
          <w:szCs w:val="32"/>
        </w:rPr>
        <w:t>）负责指导文化、旅游、体育行业精神文明建设和诚信体系建设。</w:t>
      </w:r>
    </w:p>
    <w:p>
      <w:pPr>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九</w:t>
      </w:r>
      <w:r>
        <w:rPr>
          <w:rFonts w:hint="eastAsia" w:ascii="仿宋_GB2312" w:eastAsia="仿宋_GB2312"/>
          <w:sz w:val="32"/>
          <w:szCs w:val="32"/>
        </w:rPr>
        <w:t>）负责旅游从业人员的培训工作；执行旅游从业人员的职业资格标准和等级标准；承担旅游信息化相关工作。</w:t>
      </w:r>
    </w:p>
    <w:p>
      <w:pPr>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十</w:t>
      </w:r>
      <w:r>
        <w:rPr>
          <w:rFonts w:hint="eastAsia" w:ascii="仿宋_GB2312" w:eastAsia="仿宋_GB2312"/>
          <w:sz w:val="32"/>
          <w:szCs w:val="32"/>
        </w:rPr>
        <w:t>）统筹规划群众体育发展；负责推行全民健身计划，开展群众性体育活动；推动国民体质监测和社会体育指导工作；负责对公共体育设施的监督管理；负责体育彩票销售工作。</w:t>
      </w:r>
    </w:p>
    <w:p>
      <w:pPr>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十一</w:t>
      </w:r>
      <w:r>
        <w:rPr>
          <w:rFonts w:hint="eastAsia" w:ascii="仿宋_GB2312" w:eastAsia="仿宋_GB2312"/>
          <w:sz w:val="32"/>
          <w:szCs w:val="32"/>
        </w:rPr>
        <w:t>）统筹规划社会青少年体育发展；负责推进青少年体育工作。</w:t>
      </w:r>
    </w:p>
    <w:p>
      <w:pPr>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十二</w:t>
      </w:r>
      <w:r>
        <w:rPr>
          <w:rFonts w:hint="eastAsia" w:ascii="仿宋_GB2312" w:eastAsia="仿宋_GB2312"/>
          <w:sz w:val="32"/>
          <w:szCs w:val="32"/>
        </w:rPr>
        <w:t>）完成县委、县政府交办的其他任务。</w:t>
      </w:r>
    </w:p>
    <w:p>
      <w:pPr>
        <w:adjustRightInd w:val="0"/>
        <w:snapToGrid w:val="0"/>
        <w:spacing w:line="560" w:lineRule="exact"/>
        <w:ind w:firstLine="640" w:firstLineChars="200"/>
        <w:rPr>
          <w:rFonts w:ascii="黑体" w:hAnsi="宋体" w:eastAsia="黑体"/>
          <w:color w:val="000000"/>
          <w:sz w:val="32"/>
          <w:szCs w:val="32"/>
        </w:rPr>
      </w:pPr>
      <w:r>
        <w:rPr>
          <w:rFonts w:hint="eastAsia" w:ascii="黑体" w:hAnsi="宋体" w:eastAsia="黑体"/>
          <w:color w:val="000000"/>
          <w:sz w:val="32"/>
          <w:szCs w:val="32"/>
        </w:rPr>
        <w:t>二、机构设置</w:t>
      </w:r>
    </w:p>
    <w:p>
      <w:pPr>
        <w:ind w:firstLine="640" w:firstLineChars="200"/>
        <w:rPr>
          <w:rFonts w:hint="eastAsia" w:ascii="仿宋_GB2312" w:eastAsia="仿宋_GB2312"/>
          <w:sz w:val="32"/>
          <w:szCs w:val="32"/>
        </w:rPr>
      </w:pPr>
      <w:r>
        <w:rPr>
          <w:rFonts w:hint="eastAsia" w:ascii="仿宋_GB2312" w:eastAsia="仿宋_GB2312"/>
          <w:sz w:val="32"/>
          <w:szCs w:val="32"/>
        </w:rPr>
        <w:t>（一）2023年度预算编制范围包括二级预算单位1个。</w:t>
      </w:r>
    </w:p>
    <w:p>
      <w:pPr>
        <w:ind w:firstLine="640" w:firstLineChars="200"/>
        <w:rPr>
          <w:rFonts w:hint="eastAsia" w:ascii="仿宋_GB2312" w:eastAsia="仿宋_GB2312"/>
          <w:sz w:val="32"/>
          <w:szCs w:val="32"/>
        </w:rPr>
      </w:pPr>
      <w:r>
        <w:rPr>
          <w:rFonts w:hint="eastAsia" w:ascii="仿宋_GB2312" w:eastAsia="仿宋_GB2312"/>
          <w:sz w:val="32"/>
          <w:szCs w:val="32"/>
        </w:rPr>
        <w:t>（二）2023年编制人数13人，实有人数10人，其中：事业人员5人、公务员5人，政府临聘4人。</w:t>
      </w:r>
    </w:p>
    <w:p>
      <w:pPr>
        <w:adjustRightInd w:val="0"/>
        <w:snapToGrid w:val="0"/>
        <w:spacing w:line="560" w:lineRule="exact"/>
        <w:ind w:firstLine="640" w:firstLineChars="200"/>
        <w:rPr>
          <w:rFonts w:ascii="黑体" w:hAnsi="宋体" w:eastAsia="黑体"/>
          <w:color w:val="000000"/>
          <w:sz w:val="32"/>
          <w:szCs w:val="32"/>
        </w:rPr>
      </w:pPr>
      <w:r>
        <w:rPr>
          <w:rFonts w:hint="eastAsia" w:ascii="黑体" w:hAnsi="宋体" w:eastAsia="黑体"/>
          <w:color w:val="000000"/>
          <w:sz w:val="32"/>
          <w:szCs w:val="32"/>
        </w:rPr>
        <w:t>三、部门预算部门构成</w:t>
      </w:r>
    </w:p>
    <w:p>
      <w:pPr>
        <w:ind w:firstLine="640" w:firstLineChars="200"/>
        <w:rPr>
          <w:rFonts w:ascii="仿宋_GB2312" w:eastAsia="仿宋_GB2312"/>
          <w:sz w:val="32"/>
          <w:szCs w:val="32"/>
          <w:u w:val="single"/>
        </w:rPr>
      </w:pPr>
      <w:r>
        <w:rPr>
          <w:rFonts w:hint="eastAsia" w:ascii="仿宋_GB2312" w:eastAsia="仿宋_GB2312"/>
          <w:sz w:val="32"/>
          <w:szCs w:val="32"/>
        </w:rPr>
        <w:t>纳入湟源县文体旅游局</w:t>
      </w:r>
      <w:r>
        <w:rPr>
          <w:rFonts w:hint="eastAsia" w:ascii="仿宋_GB2312" w:eastAsia="仿宋_GB2312"/>
          <w:sz w:val="32"/>
          <w:szCs w:val="32"/>
          <w:lang w:eastAsia="zh-CN"/>
        </w:rPr>
        <w:t>（</w:t>
      </w:r>
      <w:r>
        <w:rPr>
          <w:rFonts w:hint="eastAsia" w:ascii="仿宋_GB2312" w:eastAsia="仿宋_GB2312"/>
          <w:sz w:val="32"/>
          <w:szCs w:val="32"/>
          <w:lang w:val="en-US" w:eastAsia="zh-CN"/>
        </w:rPr>
        <w:t>本级</w:t>
      </w:r>
      <w:r>
        <w:rPr>
          <w:rFonts w:hint="eastAsia" w:ascii="仿宋_GB2312" w:eastAsia="仿宋_GB2312"/>
          <w:sz w:val="32"/>
          <w:szCs w:val="32"/>
          <w:lang w:eastAsia="zh-CN"/>
        </w:rPr>
        <w:t>）</w:t>
      </w:r>
      <w:r>
        <w:rPr>
          <w:rFonts w:hint="eastAsia" w:ascii="仿宋_GB2312" w:eastAsia="仿宋_GB2312"/>
          <w:sz w:val="32"/>
          <w:szCs w:val="32"/>
        </w:rPr>
        <w:t>2023年部门预算编制范围的二级预算</w:t>
      </w:r>
      <w:r>
        <w:rPr>
          <w:rFonts w:hint="eastAsia" w:ascii="仿宋_GB2312" w:eastAsia="仿宋_GB2312"/>
          <w:sz w:val="32"/>
          <w:szCs w:val="32"/>
          <w:lang w:val="en-US" w:eastAsia="zh-CN"/>
        </w:rPr>
        <w:t>单位</w:t>
      </w:r>
      <w:r>
        <w:rPr>
          <w:rFonts w:hint="eastAsia" w:ascii="仿宋_GB2312" w:eastAsia="仿宋_GB2312"/>
          <w:sz w:val="32"/>
          <w:szCs w:val="32"/>
        </w:rPr>
        <w:t>包括：</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40" w:type="dxa"/>
          </w:tcPr>
          <w:p>
            <w:pPr>
              <w:ind w:firstLine="160" w:firstLineChars="50"/>
              <w:rPr>
                <w:rFonts w:ascii="仿宋_GB2312" w:eastAsia="仿宋_GB2312"/>
                <w:sz w:val="32"/>
                <w:szCs w:val="32"/>
              </w:rPr>
            </w:pPr>
            <w:r>
              <w:rPr>
                <w:rFonts w:hint="eastAsia" w:ascii="仿宋_GB2312" w:eastAsia="仿宋_GB2312"/>
                <w:sz w:val="32"/>
                <w:szCs w:val="32"/>
              </w:rPr>
              <w:t>序号</w:t>
            </w:r>
          </w:p>
        </w:tc>
        <w:tc>
          <w:tcPr>
            <w:tcW w:w="6328" w:type="dxa"/>
          </w:tcPr>
          <w:p>
            <w:pPr>
              <w:jc w:val="center"/>
              <w:rPr>
                <w:rFonts w:ascii="仿宋_GB2312" w:eastAsia="仿宋_GB2312"/>
                <w:sz w:val="32"/>
                <w:szCs w:val="32"/>
              </w:rPr>
            </w:pPr>
            <w:r>
              <w:rPr>
                <w:rFonts w:hint="eastAsia" w:ascii="仿宋_GB2312" w:eastAsia="仿宋_GB2312"/>
                <w:sz w:val="32"/>
                <w:szCs w:val="32"/>
              </w:rPr>
              <w:t>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40" w:type="dxa"/>
          </w:tcPr>
          <w:p>
            <w:pPr>
              <w:jc w:val="center"/>
              <w:rPr>
                <w:rFonts w:ascii="仿宋_GB2312" w:eastAsia="仿宋_GB2312"/>
                <w:sz w:val="32"/>
                <w:szCs w:val="32"/>
              </w:rPr>
            </w:pPr>
            <w:r>
              <w:rPr>
                <w:rFonts w:hint="eastAsia" w:ascii="仿宋_GB2312" w:eastAsia="仿宋_GB2312"/>
                <w:sz w:val="32"/>
                <w:szCs w:val="32"/>
              </w:rPr>
              <w:t>1</w:t>
            </w:r>
          </w:p>
        </w:tc>
        <w:tc>
          <w:tcPr>
            <w:tcW w:w="6328" w:type="dxa"/>
          </w:tcPr>
          <w:p>
            <w:pPr>
              <w:jc w:val="center"/>
              <w:rPr>
                <w:rFonts w:hint="eastAsia" w:ascii="仿宋_GB2312" w:eastAsia="仿宋_GB2312"/>
                <w:sz w:val="32"/>
                <w:szCs w:val="32"/>
                <w:lang w:eastAsia="zh-CN"/>
              </w:rPr>
            </w:pPr>
            <w:r>
              <w:rPr>
                <w:rFonts w:hint="eastAsia" w:ascii="仿宋_GB2312" w:eastAsia="仿宋_GB2312"/>
                <w:sz w:val="32"/>
                <w:szCs w:val="32"/>
                <w:lang w:val="en-US" w:eastAsia="zh-CN"/>
              </w:rPr>
              <w:t>无</w:t>
            </w:r>
          </w:p>
        </w:tc>
      </w:tr>
    </w:tbl>
    <w:p>
      <w:pPr>
        <w:adjustRightInd w:val="0"/>
        <w:snapToGrid w:val="0"/>
        <w:spacing w:line="560" w:lineRule="exact"/>
        <w:ind w:firstLine="600" w:firstLineChars="200"/>
        <w:jc w:val="center"/>
        <w:rPr>
          <w:rFonts w:ascii="仿宋_GB2312" w:eastAsia="仿宋_GB2312"/>
          <w:color w:val="000000"/>
          <w:sz w:val="30"/>
          <w:szCs w:val="30"/>
        </w:rPr>
      </w:pPr>
    </w:p>
    <w:p>
      <w:pPr>
        <w:rPr>
          <w:rFonts w:hint="eastAsia" w:ascii="小标宋" w:eastAsia="小标宋"/>
          <w:b/>
          <w:color w:val="000000"/>
          <w:sz w:val="36"/>
          <w:szCs w:val="36"/>
        </w:rPr>
      </w:pPr>
      <w:r>
        <w:rPr>
          <w:rFonts w:hint="eastAsia" w:ascii="小标宋" w:eastAsia="小标宋"/>
          <w:b/>
          <w:color w:val="000000"/>
          <w:sz w:val="36"/>
          <w:szCs w:val="36"/>
        </w:rPr>
        <w:br w:type="page"/>
      </w:r>
    </w:p>
    <w:p>
      <w:pPr>
        <w:adjustRightInd w:val="0"/>
        <w:snapToGrid w:val="0"/>
        <w:spacing w:line="560" w:lineRule="exact"/>
        <w:ind w:firstLine="720" w:firstLineChars="200"/>
        <w:jc w:val="center"/>
        <w:rPr>
          <w:rFonts w:ascii="小标宋" w:eastAsia="小标宋"/>
          <w:b/>
          <w:color w:val="000000"/>
          <w:sz w:val="36"/>
          <w:szCs w:val="36"/>
        </w:rPr>
      </w:pPr>
      <w:r>
        <w:rPr>
          <w:rFonts w:hint="eastAsia" w:ascii="小标宋" w:eastAsia="小标宋"/>
          <w:b/>
          <w:color w:val="000000"/>
          <w:sz w:val="36"/>
          <w:szCs w:val="36"/>
        </w:rPr>
        <w:t>第二部分  部门预算表</w:t>
      </w:r>
    </w:p>
    <w:tbl>
      <w:tblPr>
        <w:tblStyle w:val="5"/>
        <w:tblW w:w="9870" w:type="dxa"/>
        <w:jc w:val="center"/>
        <w:tblLayout w:type="autofit"/>
        <w:tblCellMar>
          <w:top w:w="0" w:type="dxa"/>
          <w:left w:w="108" w:type="dxa"/>
          <w:bottom w:w="0" w:type="dxa"/>
          <w:right w:w="108" w:type="dxa"/>
        </w:tblCellMar>
      </w:tblPr>
      <w:tblGrid>
        <w:gridCol w:w="3885"/>
        <w:gridCol w:w="1575"/>
        <w:gridCol w:w="2835"/>
        <w:gridCol w:w="1575"/>
      </w:tblGrid>
      <w:tr>
        <w:tblPrEx>
          <w:tblCellMar>
            <w:top w:w="0" w:type="dxa"/>
            <w:left w:w="108" w:type="dxa"/>
            <w:bottom w:w="0" w:type="dxa"/>
            <w:right w:w="108" w:type="dxa"/>
          </w:tblCellMar>
        </w:tblPrEx>
        <w:trPr>
          <w:trHeight w:val="90" w:hRule="atLeast"/>
          <w:jc w:val="center"/>
        </w:trPr>
        <w:tc>
          <w:tcPr>
            <w:tcW w:w="9870" w:type="dxa"/>
            <w:gridSpan w:val="4"/>
            <w:tcBorders>
              <w:top w:val="nil"/>
              <w:left w:val="nil"/>
              <w:bottom w:val="nil"/>
              <w:right w:val="nil"/>
            </w:tcBorders>
            <w:vAlign w:val="center"/>
          </w:tcPr>
          <w:p>
            <w:pPr>
              <w:widowControl/>
              <w:jc w:val="right"/>
              <w:rPr>
                <w:rFonts w:ascii="宋体" w:hAnsi="宋体" w:cs="宋体"/>
                <w:b/>
                <w:kern w:val="0"/>
                <w:sz w:val="20"/>
              </w:rPr>
            </w:pPr>
            <w:r>
              <w:rPr>
                <w:rFonts w:hint="eastAsia" w:ascii="宋体" w:hAnsi="宋体" w:cs="宋体"/>
                <w:b/>
                <w:kern w:val="0"/>
                <w:sz w:val="20"/>
              </w:rPr>
              <w:t>部门公开表</w:t>
            </w:r>
            <w:r>
              <w:rPr>
                <w:rFonts w:ascii="宋体" w:hAnsi="宋体" w:cs="宋体"/>
                <w:b/>
                <w:kern w:val="0"/>
                <w:sz w:val="20"/>
              </w:rPr>
              <w:t>1</w:t>
            </w:r>
          </w:p>
        </w:tc>
      </w:tr>
      <w:tr>
        <w:tblPrEx>
          <w:tblCellMar>
            <w:top w:w="0" w:type="dxa"/>
            <w:left w:w="108" w:type="dxa"/>
            <w:bottom w:w="0" w:type="dxa"/>
            <w:right w:w="108" w:type="dxa"/>
          </w:tblCellMar>
        </w:tblPrEx>
        <w:trPr>
          <w:trHeight w:val="702" w:hRule="atLeast"/>
          <w:jc w:val="center"/>
        </w:trPr>
        <w:tc>
          <w:tcPr>
            <w:tcW w:w="9870" w:type="dxa"/>
            <w:gridSpan w:val="4"/>
            <w:tcBorders>
              <w:top w:val="nil"/>
              <w:left w:val="nil"/>
              <w:bottom w:val="nil"/>
              <w:right w:val="nil"/>
            </w:tcBorders>
            <w:shd w:val="clear" w:color="auto" w:fill="FFFFFF"/>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收支总表</w:t>
            </w:r>
          </w:p>
        </w:tc>
      </w:tr>
      <w:tr>
        <w:tblPrEx>
          <w:tblCellMar>
            <w:top w:w="0" w:type="dxa"/>
            <w:left w:w="108" w:type="dxa"/>
            <w:bottom w:w="0" w:type="dxa"/>
            <w:right w:w="108" w:type="dxa"/>
          </w:tblCellMar>
        </w:tblPrEx>
        <w:trPr>
          <w:trHeight w:val="402" w:hRule="atLeast"/>
          <w:jc w:val="center"/>
        </w:trPr>
        <w:tc>
          <w:tcPr>
            <w:tcW w:w="9870" w:type="dxa"/>
            <w:gridSpan w:val="4"/>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CellMar>
            <w:top w:w="0" w:type="dxa"/>
            <w:left w:w="108" w:type="dxa"/>
            <w:bottom w:w="0" w:type="dxa"/>
            <w:right w:w="108" w:type="dxa"/>
          </w:tblCellMar>
        </w:tblPrEx>
        <w:trPr>
          <w:trHeight w:val="152" w:hRule="atLeast"/>
          <w:jc w:val="center"/>
        </w:trPr>
        <w:tc>
          <w:tcPr>
            <w:tcW w:w="54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收     入</w:t>
            </w:r>
          </w:p>
        </w:tc>
        <w:tc>
          <w:tcPr>
            <w:tcW w:w="441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     出</w:t>
            </w:r>
          </w:p>
        </w:tc>
      </w:tr>
      <w:tr>
        <w:tblPrEx>
          <w:tblCellMar>
            <w:top w:w="0" w:type="dxa"/>
            <w:left w:w="108" w:type="dxa"/>
            <w:bottom w:w="0" w:type="dxa"/>
            <w:right w:w="108" w:type="dxa"/>
          </w:tblCellMar>
        </w:tblPrEx>
        <w:trPr>
          <w:trHeight w:val="134" w:hRule="atLeast"/>
          <w:jc w:val="center"/>
        </w:trPr>
        <w:tc>
          <w:tcPr>
            <w:tcW w:w="38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     目</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项目（按功能分类）</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1016.79</w:t>
            </w: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一、一般公共服务支出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二、政府性基金预算拨款收入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二、外交支出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三、国有资本经营预算拨款收入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三、国防支出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四、财政专户管理资金收入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四、公共安全支出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五、事业收入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五、教育支出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六、上级补助收入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六、科学技术支出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七、附属单位上缴收入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七、文化旅游体育与传媒支出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1644.55</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八、事业单位经营收入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八、社会保障和就业支出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67.56</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九、其他收入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九、社会保险基金支出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十、卫生健康支出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28.66</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十一、节能环保支出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十二、城乡社区支出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十三、农林水支出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十四、交通运输支出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十五、资源勘探工业信息等支出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十六、商业服务业等支出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十七、金融支出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十八、援助其他地区支出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十九、自然资源海洋气象等支出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二十、住房保障支出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19.47</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二十一、粮油物资储备支出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二十二、国有资本经营预算支出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二十三、灾害防治及应急管理支出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二十四、预备费</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二十五、其他支出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二十六、转移性支出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二十七、债务还本支出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二十八、债务付息支出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二十九、债务发行费用支出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三十、抗疫特别国债安排的支出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三十一、往来性支出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本年收入合计</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1016.79</w:t>
            </w: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本年支出合计</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1760.23</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上年结转</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743.44</w:t>
            </w: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结转下年</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收入总计</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1760.23</w:t>
            </w: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支出总计</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1760.23</w:t>
            </w:r>
          </w:p>
        </w:tc>
      </w:tr>
    </w:tbl>
    <w:p>
      <w:pPr>
        <w:rPr>
          <w:rFonts w:ascii="仿宋_GB2312" w:eastAsia="仿宋_GB2312"/>
          <w:sz w:val="32"/>
          <w:szCs w:val="32"/>
        </w:rPr>
      </w:pPr>
    </w:p>
    <w:tbl>
      <w:tblPr>
        <w:tblStyle w:val="5"/>
        <w:tblpPr w:leftFromText="180" w:rightFromText="180" w:vertAnchor="text" w:horzAnchor="page" w:tblpXSpec="center" w:tblpY="618"/>
        <w:tblOverlap w:val="never"/>
        <w:tblW w:w="11507" w:type="dxa"/>
        <w:jc w:val="center"/>
        <w:tblLayout w:type="fixed"/>
        <w:tblCellMar>
          <w:top w:w="0" w:type="dxa"/>
          <w:left w:w="108" w:type="dxa"/>
          <w:bottom w:w="0" w:type="dxa"/>
          <w:right w:w="108" w:type="dxa"/>
        </w:tblCellMar>
      </w:tblPr>
      <w:tblGrid>
        <w:gridCol w:w="1000"/>
        <w:gridCol w:w="1027"/>
        <w:gridCol w:w="1083"/>
        <w:gridCol w:w="1084"/>
        <w:gridCol w:w="914"/>
        <w:gridCol w:w="914"/>
        <w:gridCol w:w="914"/>
        <w:gridCol w:w="914"/>
        <w:gridCol w:w="914"/>
        <w:gridCol w:w="914"/>
        <w:gridCol w:w="914"/>
        <w:gridCol w:w="915"/>
      </w:tblGrid>
      <w:tr>
        <w:tblPrEx>
          <w:tblCellMar>
            <w:top w:w="0" w:type="dxa"/>
            <w:left w:w="108" w:type="dxa"/>
            <w:bottom w:w="0" w:type="dxa"/>
            <w:right w:w="108" w:type="dxa"/>
          </w:tblCellMar>
        </w:tblPrEx>
        <w:trPr>
          <w:trHeight w:val="392" w:hRule="atLeast"/>
          <w:jc w:val="center"/>
        </w:trPr>
        <w:tc>
          <w:tcPr>
            <w:tcW w:w="11507" w:type="dxa"/>
            <w:gridSpan w:val="12"/>
            <w:tcBorders>
              <w:top w:val="nil"/>
              <w:left w:val="nil"/>
              <w:bottom w:val="nil"/>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部门公开表</w:t>
            </w:r>
            <w:r>
              <w:rPr>
                <w:rFonts w:ascii="宋体" w:hAnsi="宋体" w:cs="宋体"/>
                <w:b/>
                <w:kern w:val="0"/>
                <w:sz w:val="20"/>
              </w:rPr>
              <w:t>2</w:t>
            </w:r>
          </w:p>
        </w:tc>
      </w:tr>
      <w:tr>
        <w:tblPrEx>
          <w:tblCellMar>
            <w:top w:w="0" w:type="dxa"/>
            <w:left w:w="108" w:type="dxa"/>
            <w:bottom w:w="0" w:type="dxa"/>
            <w:right w:w="108" w:type="dxa"/>
          </w:tblCellMar>
        </w:tblPrEx>
        <w:trPr>
          <w:trHeight w:val="767" w:hRule="atLeast"/>
          <w:jc w:val="center"/>
        </w:trPr>
        <w:tc>
          <w:tcPr>
            <w:tcW w:w="11507"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收入总表</w:t>
            </w:r>
          </w:p>
        </w:tc>
      </w:tr>
      <w:tr>
        <w:tblPrEx>
          <w:tblCellMar>
            <w:top w:w="0" w:type="dxa"/>
            <w:left w:w="108" w:type="dxa"/>
            <w:bottom w:w="0" w:type="dxa"/>
            <w:right w:w="108" w:type="dxa"/>
          </w:tblCellMar>
        </w:tblPrEx>
        <w:trPr>
          <w:trHeight w:val="340" w:hRule="atLeast"/>
          <w:jc w:val="center"/>
        </w:trPr>
        <w:tc>
          <w:tcPr>
            <w:tcW w:w="11507" w:type="dxa"/>
            <w:gridSpan w:val="12"/>
            <w:tcBorders>
              <w:top w:val="nil"/>
              <w:left w:val="nil"/>
              <w:bottom w:val="single" w:color="auto" w:sz="4" w:space="0"/>
              <w:right w:val="nil"/>
            </w:tcBorders>
            <w:vAlign w:val="center"/>
          </w:tcPr>
          <w:p>
            <w:pPr>
              <w:widowControl/>
              <w:jc w:val="right"/>
              <w:rPr>
                <w:rFonts w:ascii="宋体" w:hAnsi="宋体" w:cs="宋体"/>
                <w:b/>
                <w:bCs/>
                <w:color w:val="000000"/>
                <w:kern w:val="0"/>
                <w:sz w:val="20"/>
              </w:rPr>
            </w:pPr>
            <w:r>
              <w:rPr>
                <w:rFonts w:hint="eastAsia" w:ascii="宋体" w:hAnsi="宋体" w:cs="宋体"/>
                <w:b/>
                <w:bCs/>
                <w:color w:val="000000"/>
                <w:kern w:val="0"/>
                <w:sz w:val="20"/>
              </w:rPr>
              <w:t>单位：万元</w:t>
            </w:r>
          </w:p>
        </w:tc>
      </w:tr>
      <w:tr>
        <w:tblPrEx>
          <w:tblCellMar>
            <w:top w:w="0" w:type="dxa"/>
            <w:left w:w="108" w:type="dxa"/>
            <w:bottom w:w="0" w:type="dxa"/>
            <w:right w:w="108" w:type="dxa"/>
          </w:tblCellMar>
        </w:tblPrEx>
        <w:trPr>
          <w:trHeight w:val="2004"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预算部门</w:t>
            </w:r>
          </w:p>
        </w:tc>
        <w:tc>
          <w:tcPr>
            <w:tcW w:w="10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0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上年结转</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一般公共预算拨款收入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lang w:bidi="ar"/>
              </w:rPr>
              <w:t>政府性基金预算拨款收入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国有资本经营预算拨款收入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财政专户管理资金收入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上级补助收入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附属部门上缴收入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事业部门经营收入</w:t>
            </w:r>
          </w:p>
        </w:tc>
        <w:tc>
          <w:tcPr>
            <w:tcW w:w="9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其他收入</w:t>
            </w:r>
          </w:p>
        </w:tc>
      </w:tr>
      <w:tr>
        <w:tblPrEx>
          <w:tblCellMar>
            <w:top w:w="0" w:type="dxa"/>
            <w:left w:w="108" w:type="dxa"/>
            <w:bottom w:w="0" w:type="dxa"/>
            <w:right w:w="108" w:type="dxa"/>
          </w:tblCellMar>
        </w:tblPrEx>
        <w:trPr>
          <w:trHeight w:val="2004" w:hRule="atLeast"/>
          <w:jc w:val="center"/>
        </w:trPr>
        <w:tc>
          <w:tcPr>
            <w:tcW w:w="10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rPr>
            </w:pPr>
          </w:p>
        </w:tc>
        <w:tc>
          <w:tcPr>
            <w:tcW w:w="102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1760.23</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743.44</w:t>
            </w: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1016.79</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0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湟源县文体旅游局</w:t>
            </w:r>
          </w:p>
        </w:tc>
        <w:tc>
          <w:tcPr>
            <w:tcW w:w="102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1760.23</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743.44</w:t>
            </w: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1016.79</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0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湟源县文体旅游局（本级）</w:t>
            </w:r>
          </w:p>
        </w:tc>
        <w:tc>
          <w:tcPr>
            <w:tcW w:w="102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1760.23</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743.44</w:t>
            </w: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1016.79</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r>
    </w:tbl>
    <w:p>
      <w:pPr>
        <w:rPr>
          <w:rFonts w:ascii="仿宋_GB2312" w:eastAsia="仿宋_GB2312"/>
          <w:sz w:val="32"/>
          <w:szCs w:val="32"/>
        </w:rPr>
      </w:pPr>
      <w:r>
        <w:rPr>
          <w:rFonts w:hint="eastAsia" w:ascii="仿宋_GB2312" w:eastAsia="仿宋_GB2312"/>
          <w:sz w:val="32"/>
          <w:szCs w:val="32"/>
        </w:rPr>
        <w:br w:type="page"/>
      </w:r>
    </w:p>
    <w:tbl>
      <w:tblPr>
        <w:tblStyle w:val="5"/>
        <w:tblW w:w="11381" w:type="dxa"/>
        <w:jc w:val="center"/>
        <w:tblLayout w:type="fixed"/>
        <w:tblCellMar>
          <w:top w:w="0" w:type="dxa"/>
          <w:left w:w="108" w:type="dxa"/>
          <w:bottom w:w="0" w:type="dxa"/>
          <w:right w:w="108" w:type="dxa"/>
        </w:tblCellMar>
      </w:tblPr>
      <w:tblGrid>
        <w:gridCol w:w="1100"/>
        <w:gridCol w:w="3806"/>
        <w:gridCol w:w="1079"/>
        <w:gridCol w:w="1079"/>
        <w:gridCol w:w="1079"/>
        <w:gridCol w:w="1079"/>
        <w:gridCol w:w="1079"/>
        <w:gridCol w:w="1080"/>
      </w:tblGrid>
      <w:tr>
        <w:tblPrEx>
          <w:tblCellMar>
            <w:top w:w="0" w:type="dxa"/>
            <w:left w:w="108" w:type="dxa"/>
            <w:bottom w:w="0" w:type="dxa"/>
            <w:right w:w="108" w:type="dxa"/>
          </w:tblCellMar>
        </w:tblPrEx>
        <w:trPr>
          <w:trHeight w:val="187" w:hRule="atLeast"/>
          <w:jc w:val="center"/>
        </w:trPr>
        <w:tc>
          <w:tcPr>
            <w:tcW w:w="11381" w:type="dxa"/>
            <w:gridSpan w:val="8"/>
            <w:tcBorders>
              <w:top w:val="nil"/>
              <w:left w:val="nil"/>
              <w:bottom w:val="nil"/>
              <w:right w:val="nil"/>
            </w:tcBorders>
            <w:noWrap/>
            <w:vAlign w:val="center"/>
          </w:tcPr>
          <w:p>
            <w:pPr>
              <w:widowControl/>
              <w:ind w:right="603"/>
              <w:jc w:val="right"/>
              <w:rPr>
                <w:rFonts w:ascii="宋体" w:hAnsi="宋体" w:cs="宋体"/>
                <w:b/>
                <w:kern w:val="0"/>
                <w:sz w:val="20"/>
              </w:rPr>
            </w:pPr>
            <w:bookmarkStart w:id="0" w:name="RANGE!A1:K38"/>
            <w:bookmarkEnd w:id="0"/>
            <w:r>
              <w:rPr>
                <w:rFonts w:hint="eastAsia" w:ascii="宋体" w:hAnsi="宋体" w:cs="宋体"/>
                <w:b/>
                <w:kern w:val="0"/>
                <w:sz w:val="20"/>
              </w:rPr>
              <w:t>部门公开表</w:t>
            </w:r>
            <w:r>
              <w:rPr>
                <w:rFonts w:ascii="宋体" w:hAnsi="宋体" w:cs="宋体"/>
                <w:b/>
                <w:kern w:val="0"/>
                <w:sz w:val="20"/>
              </w:rPr>
              <w:t>3</w:t>
            </w:r>
          </w:p>
        </w:tc>
      </w:tr>
      <w:tr>
        <w:tblPrEx>
          <w:tblCellMar>
            <w:top w:w="0" w:type="dxa"/>
            <w:left w:w="108" w:type="dxa"/>
            <w:bottom w:w="0" w:type="dxa"/>
            <w:right w:w="108" w:type="dxa"/>
          </w:tblCellMar>
        </w:tblPrEx>
        <w:trPr>
          <w:trHeight w:val="453" w:hRule="atLeast"/>
          <w:jc w:val="center"/>
        </w:trPr>
        <w:tc>
          <w:tcPr>
            <w:tcW w:w="11381" w:type="dxa"/>
            <w:gridSpan w:val="8"/>
            <w:tcBorders>
              <w:top w:val="nil"/>
              <w:left w:val="nil"/>
              <w:bottom w:val="nil"/>
              <w:right w:val="nil"/>
            </w:tcBorders>
            <w:shd w:val="clear" w:color="auto" w:fill="FFFFFF"/>
            <w:noWrap/>
            <w:vAlign w:val="center"/>
          </w:tcPr>
          <w:p>
            <w:pPr>
              <w:widowControl/>
              <w:jc w:val="center"/>
              <w:rPr>
                <w:rFonts w:ascii="宋体" w:hAnsi="宋体" w:cs="宋体"/>
                <w:b/>
                <w:bCs/>
                <w:kern w:val="0"/>
                <w:sz w:val="20"/>
              </w:rPr>
            </w:pPr>
            <w:r>
              <w:rPr>
                <w:rFonts w:hint="eastAsia" w:ascii="宋体" w:hAnsi="宋体" w:cs="宋体"/>
                <w:b/>
                <w:bCs/>
                <w:kern w:val="0"/>
                <w:sz w:val="44"/>
                <w:szCs w:val="44"/>
              </w:rPr>
              <w:t>支出总表</w:t>
            </w:r>
          </w:p>
        </w:tc>
      </w:tr>
      <w:tr>
        <w:tblPrEx>
          <w:tblCellMar>
            <w:top w:w="0" w:type="dxa"/>
            <w:left w:w="108" w:type="dxa"/>
            <w:bottom w:w="0" w:type="dxa"/>
            <w:right w:w="108" w:type="dxa"/>
          </w:tblCellMar>
        </w:tblPrEx>
        <w:trPr>
          <w:trHeight w:val="90" w:hRule="atLeast"/>
          <w:jc w:val="center"/>
        </w:trPr>
        <w:tc>
          <w:tcPr>
            <w:tcW w:w="11381" w:type="dxa"/>
            <w:gridSpan w:val="8"/>
            <w:tcBorders>
              <w:top w:val="nil"/>
              <w:left w:val="nil"/>
              <w:bottom w:val="single" w:color="auto" w:sz="4" w:space="0"/>
              <w:right w:val="nil"/>
            </w:tcBorders>
            <w:shd w:val="clear" w:color="auto" w:fill="FFFFFF"/>
            <w:noWrap/>
            <w:vAlign w:val="center"/>
          </w:tcPr>
          <w:p>
            <w:pPr>
              <w:widowControl/>
              <w:jc w:val="right"/>
              <w:rPr>
                <w:rFonts w:ascii="宋体" w:hAnsi="宋体" w:cs="宋体"/>
                <w:b/>
                <w:bCs/>
                <w:kern w:val="0"/>
                <w:sz w:val="20"/>
              </w:rPr>
            </w:pPr>
            <w:r>
              <w:rPr>
                <w:rFonts w:hint="eastAsia" w:ascii="宋体" w:hAnsi="宋体" w:cs="宋体"/>
                <w:b/>
                <w:bCs/>
                <w:kern w:val="0"/>
                <w:sz w:val="20"/>
              </w:rPr>
              <w:t>单位：万元</w:t>
            </w:r>
          </w:p>
        </w:tc>
      </w:tr>
      <w:tr>
        <w:tblPrEx>
          <w:tblCellMar>
            <w:top w:w="0" w:type="dxa"/>
            <w:left w:w="108" w:type="dxa"/>
            <w:bottom w:w="0" w:type="dxa"/>
            <w:right w:w="108" w:type="dxa"/>
          </w:tblCellMar>
        </w:tblPrEx>
        <w:trPr>
          <w:trHeight w:val="705"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38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科目名称</w:t>
            </w: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基本支出</w:t>
            </w: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项目支出</w:t>
            </w: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事业部门经营支出</w:t>
            </w: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上缴上级支出</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对附属部门补助支出</w:t>
            </w:r>
          </w:p>
        </w:tc>
      </w:tr>
      <w:tr>
        <w:tblPrEx>
          <w:tblCellMar>
            <w:top w:w="0" w:type="dxa"/>
            <w:left w:w="108" w:type="dxa"/>
            <w:bottom w:w="0" w:type="dxa"/>
            <w:right w:w="108" w:type="dxa"/>
          </w:tblCellMar>
        </w:tblPrEx>
        <w:trPr>
          <w:trHeight w:val="324" w:hRule="atLeast"/>
          <w:jc w:val="center"/>
        </w:trPr>
        <w:tc>
          <w:tcPr>
            <w:tcW w:w="49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1760.23</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337.53</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1422.70</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207</w:t>
            </w:r>
          </w:p>
        </w:tc>
        <w:tc>
          <w:tcPr>
            <w:tcW w:w="380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文化旅游体育与传媒支出</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1644.55</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221.84</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1422.70</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20701</w:t>
            </w:r>
          </w:p>
        </w:tc>
        <w:tc>
          <w:tcPr>
            <w:tcW w:w="380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文化和旅游</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563.01</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191.91</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371.10</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2070101</w:t>
            </w:r>
          </w:p>
        </w:tc>
        <w:tc>
          <w:tcPr>
            <w:tcW w:w="380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行政运行</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104.50</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104.50</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2070111</w:t>
            </w:r>
          </w:p>
        </w:tc>
        <w:tc>
          <w:tcPr>
            <w:tcW w:w="380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文化创作与保护</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66.10</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66.10</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2070112</w:t>
            </w:r>
          </w:p>
        </w:tc>
        <w:tc>
          <w:tcPr>
            <w:tcW w:w="380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文化和旅游市场管理</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92.41</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87.41</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2070199</w:t>
            </w:r>
          </w:p>
        </w:tc>
        <w:tc>
          <w:tcPr>
            <w:tcW w:w="380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其他文化和旅游支出</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300.00</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300.00</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20702</w:t>
            </w:r>
          </w:p>
        </w:tc>
        <w:tc>
          <w:tcPr>
            <w:tcW w:w="380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文物</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66.86</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66.86</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2070205</w:t>
            </w:r>
          </w:p>
        </w:tc>
        <w:tc>
          <w:tcPr>
            <w:tcW w:w="380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博物馆</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66.86</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66.86</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20799</w:t>
            </w:r>
          </w:p>
        </w:tc>
        <w:tc>
          <w:tcPr>
            <w:tcW w:w="380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其他文化旅游体育与传媒支出</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1014.67</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29.93</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984.74</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2079999</w:t>
            </w:r>
          </w:p>
        </w:tc>
        <w:tc>
          <w:tcPr>
            <w:tcW w:w="380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其他文化旅游体育与传媒支出</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1014.67</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29.93</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984.74</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w:t>
            </w:r>
          </w:p>
        </w:tc>
        <w:tc>
          <w:tcPr>
            <w:tcW w:w="380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社会保障和就业支出</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67.56</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67.56</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w:t>
            </w:r>
          </w:p>
        </w:tc>
        <w:tc>
          <w:tcPr>
            <w:tcW w:w="380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行政事业单位养老支出</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66.79</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66.79</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2080505</w:t>
            </w:r>
          </w:p>
        </w:tc>
        <w:tc>
          <w:tcPr>
            <w:tcW w:w="380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机关事业单位基本养老保险缴费支出</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20.77</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20.77</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2080506</w:t>
            </w:r>
          </w:p>
        </w:tc>
        <w:tc>
          <w:tcPr>
            <w:tcW w:w="380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机关事业单位职业年金缴费支出</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10.39</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10.39</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2080599</w:t>
            </w:r>
          </w:p>
        </w:tc>
        <w:tc>
          <w:tcPr>
            <w:tcW w:w="380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其他行政事业单位养老支出</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35.63</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35.63</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20899</w:t>
            </w:r>
          </w:p>
        </w:tc>
        <w:tc>
          <w:tcPr>
            <w:tcW w:w="380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其他社会保障和就业支出</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0.77</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0.77</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2089999</w:t>
            </w:r>
          </w:p>
        </w:tc>
        <w:tc>
          <w:tcPr>
            <w:tcW w:w="380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其他社会保障和就业支出</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0.77</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0.77</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w:t>
            </w:r>
          </w:p>
        </w:tc>
        <w:tc>
          <w:tcPr>
            <w:tcW w:w="380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卫生健康支出</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28.66</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28.66</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w:t>
            </w:r>
          </w:p>
        </w:tc>
        <w:tc>
          <w:tcPr>
            <w:tcW w:w="380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行政事业单位医疗</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28.66</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28.66</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2101101</w:t>
            </w:r>
          </w:p>
        </w:tc>
        <w:tc>
          <w:tcPr>
            <w:tcW w:w="380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行政单位医疗</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15.25</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15.25</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2101102</w:t>
            </w:r>
          </w:p>
        </w:tc>
        <w:tc>
          <w:tcPr>
            <w:tcW w:w="380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事业单位医疗</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3.84</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3.84</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2101103</w:t>
            </w:r>
          </w:p>
        </w:tc>
        <w:tc>
          <w:tcPr>
            <w:tcW w:w="380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公务员医疗补助</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9.57</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9.57</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221</w:t>
            </w:r>
          </w:p>
        </w:tc>
        <w:tc>
          <w:tcPr>
            <w:tcW w:w="380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住房保障支出</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19.47</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19.47</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22102</w:t>
            </w:r>
          </w:p>
        </w:tc>
        <w:tc>
          <w:tcPr>
            <w:tcW w:w="380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住房改革支出</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19.47</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19.47</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2210201</w:t>
            </w:r>
          </w:p>
        </w:tc>
        <w:tc>
          <w:tcPr>
            <w:tcW w:w="380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住房公积金</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19.47</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19.47</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bl>
    <w:p>
      <w:r>
        <w:br w:type="page"/>
      </w:r>
    </w:p>
    <w:tbl>
      <w:tblPr>
        <w:tblStyle w:val="5"/>
        <w:tblpPr w:leftFromText="180" w:rightFromText="180" w:vertAnchor="text" w:horzAnchor="page" w:tblpXSpec="center" w:tblpY="183"/>
        <w:tblOverlap w:val="never"/>
        <w:tblW w:w="9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8"/>
        <w:gridCol w:w="1084"/>
        <w:gridCol w:w="1751"/>
        <w:gridCol w:w="1230"/>
        <w:gridCol w:w="1275"/>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02" w:type="dxa"/>
            <w:gridSpan w:val="6"/>
            <w:tcBorders>
              <w:top w:val="nil"/>
              <w:left w:val="nil"/>
              <w:bottom w:val="nil"/>
              <w:right w:val="nil"/>
            </w:tcBorders>
            <w:vAlign w:val="center"/>
          </w:tcPr>
          <w:p>
            <w:pPr>
              <w:widowControl/>
              <w:ind w:right="201"/>
              <w:jc w:val="right"/>
              <w:rPr>
                <w:rFonts w:ascii="宋体" w:hAnsi="宋体" w:cs="宋体"/>
                <w:b/>
                <w:kern w:val="0"/>
                <w:sz w:val="20"/>
              </w:rPr>
            </w:pPr>
            <w:r>
              <w:rPr>
                <w:rFonts w:hint="eastAsia" w:ascii="宋体" w:hAnsi="宋体" w:cs="宋体"/>
                <w:b/>
                <w:kern w:val="0"/>
                <w:sz w:val="20"/>
              </w:rPr>
              <w:t>部门公开表</w:t>
            </w:r>
            <w:r>
              <w:rPr>
                <w:rFonts w:ascii="宋体" w:hAnsi="宋体" w:cs="宋体"/>
                <w:b/>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02" w:type="dxa"/>
            <w:gridSpan w:val="6"/>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财政拨款收支总表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02" w:type="dxa"/>
            <w:gridSpan w:val="6"/>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132" w:type="dxa"/>
            <w:gridSpan w:val="2"/>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收      入</w:t>
            </w:r>
          </w:p>
        </w:tc>
        <w:tc>
          <w:tcPr>
            <w:tcW w:w="5670" w:type="dxa"/>
            <w:gridSpan w:val="4"/>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    目</w:t>
            </w:r>
          </w:p>
        </w:tc>
        <w:tc>
          <w:tcPr>
            <w:tcW w:w="1084"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预算数</w:t>
            </w:r>
          </w:p>
        </w:tc>
        <w:tc>
          <w:tcPr>
            <w:tcW w:w="1751"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 xml:space="preserve">项 </w:t>
            </w:r>
            <w:r>
              <w:rPr>
                <w:rFonts w:ascii="宋体" w:hAnsi="宋体" w:cs="宋体"/>
                <w:b/>
                <w:kern w:val="0"/>
                <w:sz w:val="22"/>
                <w:szCs w:val="22"/>
              </w:rPr>
              <w:t xml:space="preserve"> </w:t>
            </w:r>
            <w:r>
              <w:rPr>
                <w:rFonts w:hint="eastAsia" w:ascii="宋体" w:hAnsi="宋体" w:cs="宋体"/>
                <w:b/>
                <w:kern w:val="0"/>
                <w:sz w:val="22"/>
                <w:szCs w:val="22"/>
              </w:rPr>
              <w:t>目</w:t>
            </w:r>
          </w:p>
        </w:tc>
        <w:tc>
          <w:tcPr>
            <w:tcW w:w="1230"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275"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一般公共预算</w:t>
            </w:r>
          </w:p>
        </w:tc>
        <w:tc>
          <w:tcPr>
            <w:tcW w:w="1414"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政府性基金 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一、本年收入</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1016.79</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一、本年支出</w:t>
            </w:r>
          </w:p>
        </w:tc>
        <w:tc>
          <w:tcPr>
            <w:tcW w:w="1230"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1760.23</w:t>
            </w:r>
          </w:p>
        </w:tc>
        <w:tc>
          <w:tcPr>
            <w:tcW w:w="1275"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1760.23</w:t>
            </w:r>
          </w:p>
        </w:tc>
        <w:tc>
          <w:tcPr>
            <w:tcW w:w="141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（一）一般公共预算拨款收入</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1016.79</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（一）一般公共服务支出</w:t>
            </w:r>
          </w:p>
        </w:tc>
        <w:tc>
          <w:tcPr>
            <w:tcW w:w="1230"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41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（二）政府性基金预算拨款收入</w:t>
            </w: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（二）外交支出</w:t>
            </w:r>
          </w:p>
        </w:tc>
        <w:tc>
          <w:tcPr>
            <w:tcW w:w="1230"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41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（三）国防支出</w:t>
            </w:r>
          </w:p>
        </w:tc>
        <w:tc>
          <w:tcPr>
            <w:tcW w:w="1230"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41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（四）公共安全支出</w:t>
            </w:r>
          </w:p>
        </w:tc>
        <w:tc>
          <w:tcPr>
            <w:tcW w:w="1230"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41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（五）教育支出</w:t>
            </w:r>
          </w:p>
        </w:tc>
        <w:tc>
          <w:tcPr>
            <w:tcW w:w="1230"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41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（六）科学技术支出</w:t>
            </w:r>
          </w:p>
        </w:tc>
        <w:tc>
          <w:tcPr>
            <w:tcW w:w="1230"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41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（七）文化旅游体育与传媒支出</w:t>
            </w:r>
          </w:p>
        </w:tc>
        <w:tc>
          <w:tcPr>
            <w:tcW w:w="1230"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1644.55</w:t>
            </w:r>
          </w:p>
        </w:tc>
        <w:tc>
          <w:tcPr>
            <w:tcW w:w="1275"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1644.55</w:t>
            </w:r>
          </w:p>
        </w:tc>
        <w:tc>
          <w:tcPr>
            <w:tcW w:w="141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（八）社会保障和就业支出</w:t>
            </w:r>
          </w:p>
        </w:tc>
        <w:tc>
          <w:tcPr>
            <w:tcW w:w="1230"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67.56</w:t>
            </w:r>
          </w:p>
        </w:tc>
        <w:tc>
          <w:tcPr>
            <w:tcW w:w="1275"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67.56</w:t>
            </w:r>
          </w:p>
        </w:tc>
        <w:tc>
          <w:tcPr>
            <w:tcW w:w="141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（九）社会保险基金支出</w:t>
            </w:r>
          </w:p>
        </w:tc>
        <w:tc>
          <w:tcPr>
            <w:tcW w:w="1230"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41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（十）卫生健康支出</w:t>
            </w:r>
          </w:p>
        </w:tc>
        <w:tc>
          <w:tcPr>
            <w:tcW w:w="1230"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28.66</w:t>
            </w:r>
          </w:p>
        </w:tc>
        <w:tc>
          <w:tcPr>
            <w:tcW w:w="1275"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28.66</w:t>
            </w:r>
          </w:p>
        </w:tc>
        <w:tc>
          <w:tcPr>
            <w:tcW w:w="141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（十一）节能环保支出</w:t>
            </w:r>
          </w:p>
        </w:tc>
        <w:tc>
          <w:tcPr>
            <w:tcW w:w="1230"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41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（十二）城乡社区支出</w:t>
            </w:r>
          </w:p>
        </w:tc>
        <w:tc>
          <w:tcPr>
            <w:tcW w:w="1230"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41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（十三）农林水支出</w:t>
            </w:r>
          </w:p>
        </w:tc>
        <w:tc>
          <w:tcPr>
            <w:tcW w:w="1230"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41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（十四）交通运输支出</w:t>
            </w:r>
          </w:p>
        </w:tc>
        <w:tc>
          <w:tcPr>
            <w:tcW w:w="1230"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41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（十五）资源勘探工业信息等支出</w:t>
            </w:r>
          </w:p>
        </w:tc>
        <w:tc>
          <w:tcPr>
            <w:tcW w:w="1230"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41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（十六）商业服务业等支出</w:t>
            </w:r>
          </w:p>
        </w:tc>
        <w:tc>
          <w:tcPr>
            <w:tcW w:w="1230"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41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（十七）金融支出</w:t>
            </w:r>
          </w:p>
        </w:tc>
        <w:tc>
          <w:tcPr>
            <w:tcW w:w="1230"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41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（十八）援助其他地区支出</w:t>
            </w:r>
          </w:p>
        </w:tc>
        <w:tc>
          <w:tcPr>
            <w:tcW w:w="1230"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41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（十九）自然资源海洋气象等支出</w:t>
            </w:r>
          </w:p>
        </w:tc>
        <w:tc>
          <w:tcPr>
            <w:tcW w:w="1230"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41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（二十）住房保障支出</w:t>
            </w:r>
          </w:p>
        </w:tc>
        <w:tc>
          <w:tcPr>
            <w:tcW w:w="1230"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19.47</w:t>
            </w:r>
          </w:p>
        </w:tc>
        <w:tc>
          <w:tcPr>
            <w:tcW w:w="1275"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19.47</w:t>
            </w:r>
          </w:p>
        </w:tc>
        <w:tc>
          <w:tcPr>
            <w:tcW w:w="141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（二十一）粮油物资储备支出</w:t>
            </w:r>
          </w:p>
        </w:tc>
        <w:tc>
          <w:tcPr>
            <w:tcW w:w="1230"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41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（二十二）国有资本经营预算支出</w:t>
            </w:r>
          </w:p>
        </w:tc>
        <w:tc>
          <w:tcPr>
            <w:tcW w:w="1230"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41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（二十三）灾害防治及应急管理支出</w:t>
            </w:r>
          </w:p>
        </w:tc>
        <w:tc>
          <w:tcPr>
            <w:tcW w:w="1230"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41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（二十四）预备费</w:t>
            </w:r>
          </w:p>
        </w:tc>
        <w:tc>
          <w:tcPr>
            <w:tcW w:w="1230"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41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（二十五）其他支出</w:t>
            </w:r>
          </w:p>
        </w:tc>
        <w:tc>
          <w:tcPr>
            <w:tcW w:w="1230"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41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（二十六）转移性支出</w:t>
            </w:r>
          </w:p>
        </w:tc>
        <w:tc>
          <w:tcPr>
            <w:tcW w:w="1230"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41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（二十七）债务还本支出</w:t>
            </w:r>
          </w:p>
        </w:tc>
        <w:tc>
          <w:tcPr>
            <w:tcW w:w="1230"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41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（二十八）债务付息支出</w:t>
            </w:r>
          </w:p>
        </w:tc>
        <w:tc>
          <w:tcPr>
            <w:tcW w:w="1230"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41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（二十九）债务发行费用支出</w:t>
            </w:r>
          </w:p>
        </w:tc>
        <w:tc>
          <w:tcPr>
            <w:tcW w:w="1230"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41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（三十）抗疫特别国债安排的支出</w:t>
            </w:r>
          </w:p>
        </w:tc>
        <w:tc>
          <w:tcPr>
            <w:tcW w:w="1230"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41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（三十一）往来性支出</w:t>
            </w:r>
          </w:p>
        </w:tc>
        <w:tc>
          <w:tcPr>
            <w:tcW w:w="1230"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41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二、上年结转</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743.44</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二、结转下年</w:t>
            </w:r>
          </w:p>
        </w:tc>
        <w:tc>
          <w:tcPr>
            <w:tcW w:w="1230"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41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（一）一般公共预算拨款</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743.44</w:t>
            </w:r>
          </w:p>
        </w:tc>
        <w:tc>
          <w:tcPr>
            <w:tcW w:w="1751" w:type="dxa"/>
            <w:shd w:val="clear" w:color="auto" w:fill="FFFFFF"/>
            <w:noWrap/>
            <w:vAlign w:val="center"/>
          </w:tcPr>
          <w:p>
            <w:pPr>
              <w:widowControl/>
              <w:jc w:val="left"/>
              <w:rPr>
                <w:rFonts w:ascii="宋体" w:hAnsi="宋体" w:cs="宋体"/>
                <w:kern w:val="0"/>
                <w:sz w:val="20"/>
              </w:rPr>
            </w:pPr>
          </w:p>
        </w:tc>
        <w:tc>
          <w:tcPr>
            <w:tcW w:w="1230"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41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（二）政府性基金预算拨款</w:t>
            </w: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p>
        </w:tc>
        <w:tc>
          <w:tcPr>
            <w:tcW w:w="1230"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41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8"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收入总计</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1760.23</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支出总计</w:t>
            </w:r>
          </w:p>
        </w:tc>
        <w:tc>
          <w:tcPr>
            <w:tcW w:w="1230"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1760.23</w:t>
            </w:r>
          </w:p>
        </w:tc>
        <w:tc>
          <w:tcPr>
            <w:tcW w:w="1275"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1760.23</w:t>
            </w:r>
          </w:p>
        </w:tc>
        <w:tc>
          <w:tcPr>
            <w:tcW w:w="1414" w:type="dxa"/>
            <w:shd w:val="clear" w:color="auto" w:fill="FFFFFF"/>
            <w:noWrap/>
            <w:vAlign w:val="center"/>
          </w:tcPr>
          <w:p>
            <w:pPr>
              <w:widowControl/>
              <w:jc w:val="center"/>
              <w:rPr>
                <w:rFonts w:ascii="宋体" w:hAnsi="宋体" w:cs="宋体"/>
                <w:kern w:val="0"/>
                <w:sz w:val="20"/>
              </w:rPr>
            </w:pPr>
          </w:p>
        </w:tc>
      </w:tr>
    </w:tbl>
    <w:p>
      <w:r>
        <w:br w:type="page"/>
      </w:r>
    </w:p>
    <w:tbl>
      <w:tblPr>
        <w:tblStyle w:val="5"/>
        <w:tblpPr w:leftFromText="180" w:rightFromText="180" w:vertAnchor="text" w:horzAnchor="page" w:tblpXSpec="center" w:tblpY="1"/>
        <w:tblOverlap w:val="never"/>
        <w:tblW w:w="10209" w:type="dxa"/>
        <w:jc w:val="center"/>
        <w:tblLayout w:type="fixed"/>
        <w:tblCellMar>
          <w:top w:w="0" w:type="dxa"/>
          <w:left w:w="108" w:type="dxa"/>
          <w:bottom w:w="0" w:type="dxa"/>
          <w:right w:w="108" w:type="dxa"/>
        </w:tblCellMar>
      </w:tblPr>
      <w:tblGrid>
        <w:gridCol w:w="749"/>
        <w:gridCol w:w="749"/>
        <w:gridCol w:w="751"/>
        <w:gridCol w:w="3582"/>
        <w:gridCol w:w="1459"/>
        <w:gridCol w:w="1459"/>
        <w:gridCol w:w="1460"/>
      </w:tblGrid>
      <w:tr>
        <w:tblPrEx>
          <w:tblCellMar>
            <w:top w:w="0" w:type="dxa"/>
            <w:left w:w="108" w:type="dxa"/>
            <w:bottom w:w="0" w:type="dxa"/>
            <w:right w:w="108" w:type="dxa"/>
          </w:tblCellMar>
        </w:tblPrEx>
        <w:trPr>
          <w:trHeight w:val="210" w:hRule="atLeast"/>
          <w:jc w:val="center"/>
        </w:trPr>
        <w:tc>
          <w:tcPr>
            <w:tcW w:w="10209" w:type="dxa"/>
            <w:gridSpan w:val="7"/>
            <w:tcBorders>
              <w:top w:val="nil"/>
              <w:left w:val="nil"/>
              <w:bottom w:val="nil"/>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部门公开表</w:t>
            </w:r>
            <w:r>
              <w:rPr>
                <w:rFonts w:ascii="宋体" w:hAnsi="宋体" w:cs="宋体"/>
                <w:b/>
                <w:kern w:val="0"/>
                <w:sz w:val="18"/>
                <w:szCs w:val="18"/>
              </w:rPr>
              <w:t>5</w:t>
            </w:r>
          </w:p>
        </w:tc>
      </w:tr>
      <w:tr>
        <w:tblPrEx>
          <w:tblCellMar>
            <w:top w:w="0" w:type="dxa"/>
            <w:left w:w="108" w:type="dxa"/>
            <w:bottom w:w="0" w:type="dxa"/>
            <w:right w:w="108" w:type="dxa"/>
          </w:tblCellMar>
        </w:tblPrEx>
        <w:trPr>
          <w:trHeight w:val="576" w:hRule="atLeast"/>
          <w:jc w:val="center"/>
        </w:trPr>
        <w:tc>
          <w:tcPr>
            <w:tcW w:w="1020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一般公共预算支出表</w:t>
            </w:r>
          </w:p>
        </w:tc>
      </w:tr>
      <w:tr>
        <w:tblPrEx>
          <w:tblCellMar>
            <w:top w:w="0" w:type="dxa"/>
            <w:left w:w="108" w:type="dxa"/>
            <w:bottom w:w="0" w:type="dxa"/>
            <w:right w:w="108" w:type="dxa"/>
          </w:tblCellMar>
        </w:tblPrEx>
        <w:trPr>
          <w:trHeight w:val="330" w:hRule="atLeast"/>
          <w:jc w:val="center"/>
        </w:trPr>
        <w:tc>
          <w:tcPr>
            <w:tcW w:w="1020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390" w:hRule="atLeast"/>
          <w:jc w:val="center"/>
        </w:trPr>
        <w:tc>
          <w:tcPr>
            <w:tcW w:w="5831"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4378"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2023年预算数</w:t>
            </w:r>
          </w:p>
        </w:tc>
      </w:tr>
      <w:tr>
        <w:tblPrEx>
          <w:tblCellMar>
            <w:top w:w="0" w:type="dxa"/>
            <w:left w:w="108" w:type="dxa"/>
            <w:bottom w:w="0" w:type="dxa"/>
            <w:right w:w="108" w:type="dxa"/>
          </w:tblCellMar>
        </w:tblPrEx>
        <w:trPr>
          <w:trHeight w:val="390" w:hRule="atLeast"/>
          <w:jc w:val="center"/>
        </w:trPr>
        <w:tc>
          <w:tcPr>
            <w:tcW w:w="224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358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145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45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146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90" w:hRule="atLeast"/>
          <w:jc w:val="center"/>
        </w:trPr>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35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14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14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1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240" w:hRule="atLeast"/>
          <w:jc w:val="center"/>
        </w:trPr>
        <w:tc>
          <w:tcPr>
            <w:tcW w:w="5831"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合计</w:t>
            </w:r>
          </w:p>
        </w:tc>
        <w:tc>
          <w:tcPr>
            <w:tcW w:w="14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1016.79</w:t>
            </w:r>
          </w:p>
        </w:tc>
        <w:tc>
          <w:tcPr>
            <w:tcW w:w="14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337.53</w:t>
            </w:r>
          </w:p>
        </w:tc>
        <w:tc>
          <w:tcPr>
            <w:tcW w:w="14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679.26</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207</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文化旅游体育与传媒支出　</w:t>
            </w:r>
          </w:p>
        </w:tc>
        <w:tc>
          <w:tcPr>
            <w:tcW w:w="14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901.10</w:t>
            </w:r>
          </w:p>
        </w:tc>
        <w:tc>
          <w:tcPr>
            <w:tcW w:w="14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221.84</w:t>
            </w:r>
          </w:p>
        </w:tc>
        <w:tc>
          <w:tcPr>
            <w:tcW w:w="14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679.26</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文化和旅游　</w:t>
            </w:r>
          </w:p>
        </w:tc>
        <w:tc>
          <w:tcPr>
            <w:tcW w:w="14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496.91</w:t>
            </w:r>
          </w:p>
        </w:tc>
        <w:tc>
          <w:tcPr>
            <w:tcW w:w="14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191.91</w:t>
            </w:r>
          </w:p>
        </w:tc>
        <w:tc>
          <w:tcPr>
            <w:tcW w:w="14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305.00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01</w:t>
            </w:r>
          </w:p>
        </w:tc>
        <w:tc>
          <w:tcPr>
            <w:tcW w:w="35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行政运行　</w:t>
            </w:r>
          </w:p>
        </w:tc>
        <w:tc>
          <w:tcPr>
            <w:tcW w:w="14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104.50</w:t>
            </w:r>
          </w:p>
        </w:tc>
        <w:tc>
          <w:tcPr>
            <w:tcW w:w="14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104.50</w:t>
            </w:r>
          </w:p>
        </w:tc>
        <w:tc>
          <w:tcPr>
            <w:tcW w:w="14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12</w:t>
            </w:r>
          </w:p>
        </w:tc>
        <w:tc>
          <w:tcPr>
            <w:tcW w:w="35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文化和旅游市场管理　</w:t>
            </w:r>
          </w:p>
        </w:tc>
        <w:tc>
          <w:tcPr>
            <w:tcW w:w="14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92.41</w:t>
            </w:r>
          </w:p>
        </w:tc>
        <w:tc>
          <w:tcPr>
            <w:tcW w:w="14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87.41</w:t>
            </w:r>
          </w:p>
        </w:tc>
        <w:tc>
          <w:tcPr>
            <w:tcW w:w="14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99</w:t>
            </w:r>
          </w:p>
        </w:tc>
        <w:tc>
          <w:tcPr>
            <w:tcW w:w="35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其他文化和旅游支出　</w:t>
            </w:r>
          </w:p>
        </w:tc>
        <w:tc>
          <w:tcPr>
            <w:tcW w:w="14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300.00</w:t>
            </w:r>
          </w:p>
        </w:tc>
        <w:tc>
          <w:tcPr>
            <w:tcW w:w="14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14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300.00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文物　</w:t>
            </w:r>
          </w:p>
        </w:tc>
        <w:tc>
          <w:tcPr>
            <w:tcW w:w="14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47.00</w:t>
            </w:r>
          </w:p>
        </w:tc>
        <w:tc>
          <w:tcPr>
            <w:tcW w:w="14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14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47.00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05</w:t>
            </w:r>
          </w:p>
        </w:tc>
        <w:tc>
          <w:tcPr>
            <w:tcW w:w="35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博物馆　</w:t>
            </w:r>
          </w:p>
        </w:tc>
        <w:tc>
          <w:tcPr>
            <w:tcW w:w="14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47.00</w:t>
            </w:r>
          </w:p>
        </w:tc>
        <w:tc>
          <w:tcPr>
            <w:tcW w:w="14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14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47.00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99</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其他文化旅游体育与传媒支出　</w:t>
            </w:r>
          </w:p>
        </w:tc>
        <w:tc>
          <w:tcPr>
            <w:tcW w:w="14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357.19</w:t>
            </w:r>
          </w:p>
        </w:tc>
        <w:tc>
          <w:tcPr>
            <w:tcW w:w="14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29.93</w:t>
            </w:r>
          </w:p>
        </w:tc>
        <w:tc>
          <w:tcPr>
            <w:tcW w:w="14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327.26</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99</w:t>
            </w:r>
          </w:p>
        </w:tc>
        <w:tc>
          <w:tcPr>
            <w:tcW w:w="35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其他文化旅游体育与传媒支出　</w:t>
            </w:r>
          </w:p>
        </w:tc>
        <w:tc>
          <w:tcPr>
            <w:tcW w:w="14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357.19</w:t>
            </w:r>
          </w:p>
        </w:tc>
        <w:tc>
          <w:tcPr>
            <w:tcW w:w="14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29.93</w:t>
            </w:r>
          </w:p>
        </w:tc>
        <w:tc>
          <w:tcPr>
            <w:tcW w:w="14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327.26</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208</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社会保障和就业支出　</w:t>
            </w:r>
          </w:p>
        </w:tc>
        <w:tc>
          <w:tcPr>
            <w:tcW w:w="14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67.56</w:t>
            </w:r>
          </w:p>
        </w:tc>
        <w:tc>
          <w:tcPr>
            <w:tcW w:w="14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67.56</w:t>
            </w:r>
          </w:p>
        </w:tc>
        <w:tc>
          <w:tcPr>
            <w:tcW w:w="14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05</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行政事业单位养老支出　</w:t>
            </w:r>
          </w:p>
        </w:tc>
        <w:tc>
          <w:tcPr>
            <w:tcW w:w="14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66.79</w:t>
            </w:r>
          </w:p>
        </w:tc>
        <w:tc>
          <w:tcPr>
            <w:tcW w:w="14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66.79</w:t>
            </w:r>
          </w:p>
        </w:tc>
        <w:tc>
          <w:tcPr>
            <w:tcW w:w="14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05</w:t>
            </w:r>
          </w:p>
        </w:tc>
        <w:tc>
          <w:tcPr>
            <w:tcW w:w="35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机关事业单位基本养老保险缴费支出　</w:t>
            </w:r>
          </w:p>
        </w:tc>
        <w:tc>
          <w:tcPr>
            <w:tcW w:w="14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20.77</w:t>
            </w:r>
          </w:p>
        </w:tc>
        <w:tc>
          <w:tcPr>
            <w:tcW w:w="14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20.77</w:t>
            </w:r>
          </w:p>
        </w:tc>
        <w:tc>
          <w:tcPr>
            <w:tcW w:w="14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06</w:t>
            </w:r>
          </w:p>
        </w:tc>
        <w:tc>
          <w:tcPr>
            <w:tcW w:w="35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机关事业单位职业年金缴费支出　</w:t>
            </w:r>
          </w:p>
        </w:tc>
        <w:tc>
          <w:tcPr>
            <w:tcW w:w="14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10.39</w:t>
            </w:r>
          </w:p>
        </w:tc>
        <w:tc>
          <w:tcPr>
            <w:tcW w:w="14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10.39</w:t>
            </w:r>
          </w:p>
        </w:tc>
        <w:tc>
          <w:tcPr>
            <w:tcW w:w="14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99</w:t>
            </w:r>
          </w:p>
        </w:tc>
        <w:tc>
          <w:tcPr>
            <w:tcW w:w="35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其他行政事业单位养老支出　</w:t>
            </w:r>
          </w:p>
        </w:tc>
        <w:tc>
          <w:tcPr>
            <w:tcW w:w="14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35.63</w:t>
            </w:r>
          </w:p>
        </w:tc>
        <w:tc>
          <w:tcPr>
            <w:tcW w:w="14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35.63</w:t>
            </w:r>
          </w:p>
        </w:tc>
        <w:tc>
          <w:tcPr>
            <w:tcW w:w="14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99</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其他社会保障和就业支出　</w:t>
            </w:r>
          </w:p>
        </w:tc>
        <w:tc>
          <w:tcPr>
            <w:tcW w:w="14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0.77</w:t>
            </w:r>
          </w:p>
        </w:tc>
        <w:tc>
          <w:tcPr>
            <w:tcW w:w="14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0.77</w:t>
            </w:r>
          </w:p>
        </w:tc>
        <w:tc>
          <w:tcPr>
            <w:tcW w:w="14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99</w:t>
            </w:r>
          </w:p>
        </w:tc>
        <w:tc>
          <w:tcPr>
            <w:tcW w:w="35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其他社会保障和就业支出　</w:t>
            </w:r>
          </w:p>
        </w:tc>
        <w:tc>
          <w:tcPr>
            <w:tcW w:w="14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0.77</w:t>
            </w:r>
          </w:p>
        </w:tc>
        <w:tc>
          <w:tcPr>
            <w:tcW w:w="14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0.77</w:t>
            </w:r>
          </w:p>
        </w:tc>
        <w:tc>
          <w:tcPr>
            <w:tcW w:w="14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210</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卫生健康支出　</w:t>
            </w:r>
          </w:p>
        </w:tc>
        <w:tc>
          <w:tcPr>
            <w:tcW w:w="14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28.66</w:t>
            </w:r>
          </w:p>
        </w:tc>
        <w:tc>
          <w:tcPr>
            <w:tcW w:w="14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28.66</w:t>
            </w:r>
          </w:p>
        </w:tc>
        <w:tc>
          <w:tcPr>
            <w:tcW w:w="14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行政事业单位医疗　</w:t>
            </w:r>
          </w:p>
        </w:tc>
        <w:tc>
          <w:tcPr>
            <w:tcW w:w="14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28.66</w:t>
            </w:r>
          </w:p>
        </w:tc>
        <w:tc>
          <w:tcPr>
            <w:tcW w:w="14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28.66</w:t>
            </w:r>
          </w:p>
        </w:tc>
        <w:tc>
          <w:tcPr>
            <w:tcW w:w="14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01</w:t>
            </w:r>
          </w:p>
        </w:tc>
        <w:tc>
          <w:tcPr>
            <w:tcW w:w="35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行政单位医疗　</w:t>
            </w:r>
          </w:p>
        </w:tc>
        <w:tc>
          <w:tcPr>
            <w:tcW w:w="14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15.25</w:t>
            </w:r>
          </w:p>
        </w:tc>
        <w:tc>
          <w:tcPr>
            <w:tcW w:w="14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15.25</w:t>
            </w:r>
          </w:p>
        </w:tc>
        <w:tc>
          <w:tcPr>
            <w:tcW w:w="14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02</w:t>
            </w:r>
          </w:p>
        </w:tc>
        <w:tc>
          <w:tcPr>
            <w:tcW w:w="35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事业单位医疗　</w:t>
            </w:r>
          </w:p>
        </w:tc>
        <w:tc>
          <w:tcPr>
            <w:tcW w:w="14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3.84</w:t>
            </w:r>
          </w:p>
        </w:tc>
        <w:tc>
          <w:tcPr>
            <w:tcW w:w="14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3.84</w:t>
            </w:r>
          </w:p>
        </w:tc>
        <w:tc>
          <w:tcPr>
            <w:tcW w:w="14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03</w:t>
            </w:r>
          </w:p>
        </w:tc>
        <w:tc>
          <w:tcPr>
            <w:tcW w:w="35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公务员医疗补助　</w:t>
            </w:r>
          </w:p>
        </w:tc>
        <w:tc>
          <w:tcPr>
            <w:tcW w:w="14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9.57</w:t>
            </w:r>
          </w:p>
        </w:tc>
        <w:tc>
          <w:tcPr>
            <w:tcW w:w="14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9.57</w:t>
            </w:r>
          </w:p>
        </w:tc>
        <w:tc>
          <w:tcPr>
            <w:tcW w:w="14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221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住房保障支出　</w:t>
            </w:r>
          </w:p>
        </w:tc>
        <w:tc>
          <w:tcPr>
            <w:tcW w:w="14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19.47</w:t>
            </w:r>
          </w:p>
        </w:tc>
        <w:tc>
          <w:tcPr>
            <w:tcW w:w="14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19.47</w:t>
            </w:r>
          </w:p>
        </w:tc>
        <w:tc>
          <w:tcPr>
            <w:tcW w:w="14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住房改革支出　</w:t>
            </w:r>
          </w:p>
        </w:tc>
        <w:tc>
          <w:tcPr>
            <w:tcW w:w="14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19.47</w:t>
            </w:r>
          </w:p>
        </w:tc>
        <w:tc>
          <w:tcPr>
            <w:tcW w:w="14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19.47</w:t>
            </w:r>
          </w:p>
        </w:tc>
        <w:tc>
          <w:tcPr>
            <w:tcW w:w="14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01</w:t>
            </w:r>
          </w:p>
        </w:tc>
        <w:tc>
          <w:tcPr>
            <w:tcW w:w="35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住房公积金　</w:t>
            </w:r>
          </w:p>
        </w:tc>
        <w:tc>
          <w:tcPr>
            <w:tcW w:w="14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19.47</w:t>
            </w:r>
          </w:p>
        </w:tc>
        <w:tc>
          <w:tcPr>
            <w:tcW w:w="14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19.47</w:t>
            </w:r>
          </w:p>
        </w:tc>
        <w:tc>
          <w:tcPr>
            <w:tcW w:w="14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rPr>
          <w:rFonts w:ascii="仿宋_GB2312" w:eastAsia="仿宋_GB2312"/>
          <w:sz w:val="32"/>
          <w:szCs w:val="32"/>
        </w:rPr>
      </w:pPr>
      <w:r>
        <w:rPr>
          <w:rFonts w:hint="eastAsia" w:ascii="仿宋_GB2312" w:eastAsia="仿宋_GB2312"/>
          <w:sz w:val="32"/>
          <w:szCs w:val="32"/>
        </w:rPr>
        <w:br w:type="page"/>
      </w:r>
    </w:p>
    <w:tbl>
      <w:tblPr>
        <w:tblStyle w:val="5"/>
        <w:tblW w:w="11245" w:type="dxa"/>
        <w:tblInd w:w="-1064" w:type="dxa"/>
        <w:tblLayout w:type="fixed"/>
        <w:tblCellMar>
          <w:top w:w="0" w:type="dxa"/>
          <w:left w:w="108" w:type="dxa"/>
          <w:bottom w:w="0" w:type="dxa"/>
          <w:right w:w="108" w:type="dxa"/>
        </w:tblCellMar>
      </w:tblPr>
      <w:tblGrid>
        <w:gridCol w:w="650"/>
        <w:gridCol w:w="650"/>
        <w:gridCol w:w="3006"/>
        <w:gridCol w:w="2313"/>
        <w:gridCol w:w="2313"/>
        <w:gridCol w:w="2313"/>
      </w:tblGrid>
      <w:tr>
        <w:tblPrEx>
          <w:tblCellMar>
            <w:top w:w="0" w:type="dxa"/>
            <w:left w:w="108" w:type="dxa"/>
            <w:bottom w:w="0" w:type="dxa"/>
            <w:right w:w="108" w:type="dxa"/>
          </w:tblCellMar>
        </w:tblPrEx>
        <w:trPr>
          <w:trHeight w:val="264" w:hRule="atLeast"/>
        </w:trPr>
        <w:tc>
          <w:tcPr>
            <w:tcW w:w="11245" w:type="dxa"/>
            <w:gridSpan w:val="6"/>
            <w:tcBorders>
              <w:top w:val="nil"/>
              <w:left w:val="nil"/>
              <w:bottom w:val="nil"/>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部门公开表</w:t>
            </w:r>
            <w:r>
              <w:rPr>
                <w:rFonts w:ascii="宋体" w:hAnsi="宋体" w:cs="宋体"/>
                <w:b/>
                <w:kern w:val="0"/>
                <w:sz w:val="18"/>
                <w:szCs w:val="18"/>
              </w:rPr>
              <w:t>6</w:t>
            </w:r>
          </w:p>
        </w:tc>
      </w:tr>
      <w:tr>
        <w:tblPrEx>
          <w:tblCellMar>
            <w:top w:w="0" w:type="dxa"/>
            <w:left w:w="108" w:type="dxa"/>
            <w:bottom w:w="0" w:type="dxa"/>
            <w:right w:w="108" w:type="dxa"/>
          </w:tblCellMar>
        </w:tblPrEx>
        <w:trPr>
          <w:trHeight w:val="720" w:hRule="atLeast"/>
        </w:trPr>
        <w:tc>
          <w:tcPr>
            <w:tcW w:w="11245" w:type="dxa"/>
            <w:gridSpan w:val="6"/>
            <w:tcBorders>
              <w:top w:val="nil"/>
              <w:left w:val="nil"/>
              <w:bottom w:val="nil"/>
              <w:right w:val="nil"/>
            </w:tcBorders>
            <w:noWrap/>
            <w:vAlign w:val="bottom"/>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一般公共预算基本支出表</w:t>
            </w:r>
          </w:p>
        </w:tc>
      </w:tr>
      <w:tr>
        <w:tblPrEx>
          <w:tblCellMar>
            <w:top w:w="0" w:type="dxa"/>
            <w:left w:w="108" w:type="dxa"/>
            <w:bottom w:w="0" w:type="dxa"/>
            <w:right w:w="108" w:type="dxa"/>
          </w:tblCellMar>
        </w:tblPrEx>
        <w:trPr>
          <w:trHeight w:val="330" w:hRule="atLeast"/>
        </w:trPr>
        <w:tc>
          <w:tcPr>
            <w:tcW w:w="11245" w:type="dxa"/>
            <w:gridSpan w:val="6"/>
            <w:tcBorders>
              <w:top w:val="nil"/>
              <w:left w:val="nil"/>
              <w:bottom w:val="single" w:color="auto" w:sz="4" w:space="0"/>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600" w:hRule="atLeast"/>
        </w:trPr>
        <w:tc>
          <w:tcPr>
            <w:tcW w:w="4306"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支出经济分类科目</w:t>
            </w:r>
          </w:p>
        </w:tc>
        <w:tc>
          <w:tcPr>
            <w:tcW w:w="693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2023年基本支出</w:t>
            </w:r>
          </w:p>
        </w:tc>
      </w:tr>
      <w:tr>
        <w:tblPrEx>
          <w:tblCellMar>
            <w:top w:w="0" w:type="dxa"/>
            <w:left w:w="108" w:type="dxa"/>
            <w:bottom w:w="0" w:type="dxa"/>
            <w:right w:w="108" w:type="dxa"/>
          </w:tblCellMar>
        </w:tblPrEx>
        <w:trPr>
          <w:trHeight w:val="330" w:hRule="atLeast"/>
        </w:trPr>
        <w:tc>
          <w:tcPr>
            <w:tcW w:w="1300" w:type="dxa"/>
            <w:gridSpan w:val="2"/>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300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231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231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人员经费</w:t>
            </w:r>
          </w:p>
        </w:tc>
        <w:tc>
          <w:tcPr>
            <w:tcW w:w="231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公用经费</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类</w:t>
            </w:r>
          </w:p>
        </w:tc>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款</w:t>
            </w:r>
          </w:p>
        </w:tc>
        <w:tc>
          <w:tcPr>
            <w:tcW w:w="30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23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23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23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r>
      <w:tr>
        <w:tblPrEx>
          <w:tblCellMar>
            <w:top w:w="0" w:type="dxa"/>
            <w:left w:w="108" w:type="dxa"/>
            <w:bottom w:w="0" w:type="dxa"/>
            <w:right w:w="108" w:type="dxa"/>
          </w:tblCellMar>
        </w:tblPrEx>
        <w:trPr>
          <w:trHeight w:val="330" w:hRule="atLeast"/>
        </w:trPr>
        <w:tc>
          <w:tcPr>
            <w:tcW w:w="4306" w:type="dxa"/>
            <w:gridSpan w:val="3"/>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337.53</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322.14</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15.38</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301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300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工资福利支出</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275.21</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275.21</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300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基本工资</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47.24</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47.24</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300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津贴补贴</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60.88</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60.88</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03</w:t>
            </w:r>
          </w:p>
        </w:tc>
        <w:tc>
          <w:tcPr>
            <w:tcW w:w="300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奖金</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31.96</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31.96</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300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绩效工资</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36.44</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36.44</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300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机关事业单位基本养老保险缴费</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20.77</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20.77</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09</w:t>
            </w:r>
          </w:p>
        </w:tc>
        <w:tc>
          <w:tcPr>
            <w:tcW w:w="300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职业年金缴费</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10.39</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10.39</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300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职工基本医疗保险缴费</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7.78</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7.78</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300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公务员医疗补助缴费</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9.57</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9.57</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300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其他社会保障缴费</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0.77</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0.77</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300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住房公积金</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19.47</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19.47</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99</w:t>
            </w:r>
          </w:p>
        </w:tc>
        <w:tc>
          <w:tcPr>
            <w:tcW w:w="300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其他工资福利支出</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29.93</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29.93</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302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300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商品和服务支出</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15.38</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15.38</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300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办公费</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1.32</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1.32</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300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水费</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0.24</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0.24</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06</w:t>
            </w:r>
          </w:p>
        </w:tc>
        <w:tc>
          <w:tcPr>
            <w:tcW w:w="300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电费</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0.24</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0.24</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300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邮电费</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0.96</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0.96</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300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取暖费</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1.20</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1.20</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300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差旅费</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1.08</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1.08</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300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公务接待费</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0.36</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0.36</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300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工会经费</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2.39</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2.39</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300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公务用车运行维护费</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39</w:t>
            </w:r>
          </w:p>
        </w:tc>
        <w:tc>
          <w:tcPr>
            <w:tcW w:w="300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其他交通费用</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5.24</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5.24</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99</w:t>
            </w:r>
          </w:p>
        </w:tc>
        <w:tc>
          <w:tcPr>
            <w:tcW w:w="300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其他商品和服务支出</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1.35</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1.35</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303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300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对个人和家庭的补助</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46.94</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46.94</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300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退休费</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32.36</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32.36</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300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生活补助</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3.27</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3.27</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300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医疗费补助</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11.31</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11.31</w:t>
            </w:r>
          </w:p>
        </w:tc>
        <w:tc>
          <w:tcPr>
            <w:tcW w:w="231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bl>
    <w:p>
      <w:pPr>
        <w:rPr>
          <w:rFonts w:ascii="仿宋_GB2312" w:eastAsia="仿宋_GB2312"/>
          <w:sz w:val="10"/>
          <w:szCs w:val="32"/>
        </w:rPr>
      </w:pPr>
      <w:r>
        <w:rPr>
          <w:rFonts w:hint="eastAsia" w:ascii="仿宋_GB2312" w:eastAsia="仿宋_GB2312"/>
          <w:sz w:val="10"/>
          <w:szCs w:val="32"/>
        </w:rPr>
        <w:br w:type="page"/>
      </w:r>
    </w:p>
    <w:tbl>
      <w:tblPr>
        <w:tblStyle w:val="5"/>
        <w:tblW w:w="11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965"/>
        <w:gridCol w:w="965"/>
        <w:gridCol w:w="965"/>
        <w:gridCol w:w="965"/>
        <w:gridCol w:w="965"/>
        <w:gridCol w:w="965"/>
        <w:gridCol w:w="965"/>
        <w:gridCol w:w="965"/>
        <w:gridCol w:w="965"/>
        <w:gridCol w:w="965"/>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nil"/>
              <w:right w:val="nil"/>
            </w:tcBorders>
            <w:noWrap/>
            <w:vAlign w:val="bottom"/>
          </w:tcPr>
          <w:p>
            <w:pPr>
              <w:widowControl/>
              <w:ind w:right="181"/>
              <w:jc w:val="right"/>
              <w:rPr>
                <w:rFonts w:ascii="宋体" w:hAnsi="宋体" w:cs="宋体"/>
                <w:b/>
                <w:kern w:val="0"/>
                <w:sz w:val="18"/>
                <w:szCs w:val="18"/>
              </w:rPr>
            </w:pPr>
            <w:bookmarkStart w:id="1" w:name="RANGE!A1:F15"/>
            <w:bookmarkEnd w:id="1"/>
            <w:bookmarkStart w:id="2" w:name="RANGE!A1:G6"/>
            <w:bookmarkEnd w:id="2"/>
            <w:bookmarkStart w:id="3" w:name="RANGE!A1:F62"/>
            <w:bookmarkEnd w:id="3"/>
            <w:r>
              <w:rPr>
                <w:rFonts w:hint="eastAsia" w:ascii="宋体" w:hAnsi="宋体" w:cs="宋体"/>
                <w:b/>
                <w:kern w:val="0"/>
                <w:sz w:val="18"/>
                <w:szCs w:val="18"/>
              </w:rPr>
              <w:t>部门公开表</w:t>
            </w:r>
            <w:r>
              <w:rPr>
                <w:rFonts w:ascii="宋体" w:hAnsi="宋体" w:cs="宋体"/>
                <w:b/>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587"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一般公共预算“三公”经费支出表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single" w:color="auto" w:sz="4" w:space="0"/>
              <w:right w:val="nil"/>
            </w:tcBorders>
            <w:noWrap/>
            <w:vAlign w:val="center"/>
          </w:tcPr>
          <w:p>
            <w:pPr>
              <w:jc w:val="right"/>
              <w:rPr>
                <w:rFonts w:ascii="宋体" w:hAnsi="宋体" w:cs="宋体"/>
                <w:b/>
                <w:bCs/>
                <w:kern w:val="0"/>
                <w:sz w:val="44"/>
                <w:szCs w:val="44"/>
              </w:rPr>
            </w:pPr>
            <w:r>
              <w:rPr>
                <w:rFonts w:hint="eastAsia" w:ascii="宋体" w:hAnsi="宋体" w:cs="宋体"/>
                <w:b/>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790" w:type="dxa"/>
            <w:gridSpan w:val="6"/>
            <w:tcBorders>
              <w:top w:val="single" w:color="auto" w:sz="4" w:space="0"/>
            </w:tcBorders>
            <w:vAlign w:val="center"/>
          </w:tcPr>
          <w:p>
            <w:pPr>
              <w:widowControl/>
              <w:jc w:val="center"/>
              <w:rPr>
                <w:rFonts w:ascii="宋体" w:hAnsi="宋体" w:cs="宋体"/>
                <w:b/>
                <w:bCs/>
                <w:color w:val="000000"/>
                <w:kern w:val="0"/>
                <w:sz w:val="22"/>
                <w:szCs w:val="22"/>
              </w:rPr>
            </w:pPr>
            <w:r>
              <w:rPr>
                <w:rFonts w:ascii="宋体" w:hAnsi="宋体" w:cs="宋体"/>
                <w:b/>
                <w:bCs/>
                <w:color w:val="000000"/>
                <w:kern w:val="0"/>
                <w:sz w:val="22"/>
                <w:szCs w:val="22"/>
              </w:rPr>
              <w:t>上年</w:t>
            </w:r>
            <w:r>
              <w:rPr>
                <w:rFonts w:hint="eastAsia" w:ascii="宋体" w:hAnsi="宋体" w:cs="宋体"/>
                <w:b/>
                <w:bCs/>
                <w:color w:val="000000"/>
                <w:kern w:val="0"/>
                <w:sz w:val="22"/>
                <w:szCs w:val="22"/>
              </w:rPr>
              <w:t>预算数</w:t>
            </w:r>
          </w:p>
        </w:tc>
        <w:tc>
          <w:tcPr>
            <w:tcW w:w="5797" w:type="dxa"/>
            <w:gridSpan w:val="6"/>
            <w:tcBorders>
              <w:top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2023年预算数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65" w:type="dxa"/>
            <w:vMerge w:val="restart"/>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65" w:type="dxa"/>
            <w:vMerge w:val="restart"/>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c>
          <w:tcPr>
            <w:tcW w:w="965" w:type="dxa"/>
            <w:vMerge w:val="restart"/>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72" w:type="dxa"/>
            <w:vMerge w:val="restart"/>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65" w:type="dxa"/>
            <w:vMerge w:val="continue"/>
            <w:vAlign w:val="center"/>
          </w:tcPr>
          <w:p>
            <w:pPr>
              <w:widowControl/>
              <w:jc w:val="left"/>
              <w:rPr>
                <w:rFonts w:ascii="宋体" w:hAnsi="宋体" w:cs="宋体"/>
                <w:b/>
                <w:bCs/>
                <w:color w:val="000000"/>
                <w:kern w:val="0"/>
                <w:sz w:val="22"/>
                <w:szCs w:val="22"/>
              </w:rPr>
            </w:pPr>
          </w:p>
        </w:tc>
        <w:tc>
          <w:tcPr>
            <w:tcW w:w="965" w:type="dxa"/>
            <w:vMerge w:val="continue"/>
            <w:vAlign w:val="center"/>
          </w:tcPr>
          <w:p>
            <w:pPr>
              <w:widowControl/>
              <w:jc w:val="left"/>
              <w:rPr>
                <w:rFonts w:ascii="宋体" w:hAnsi="宋体" w:cs="宋体"/>
                <w:b/>
                <w:bCs/>
                <w:color w:val="000000"/>
                <w:kern w:val="0"/>
                <w:sz w:val="22"/>
                <w:szCs w:val="22"/>
              </w:rPr>
            </w:pPr>
          </w:p>
        </w:tc>
        <w:tc>
          <w:tcPr>
            <w:tcW w:w="965" w:type="dxa"/>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65" w:type="dxa"/>
            <w:vMerge w:val="continue"/>
            <w:vAlign w:val="center"/>
          </w:tcPr>
          <w:p>
            <w:pPr>
              <w:widowControl/>
              <w:jc w:val="left"/>
              <w:rPr>
                <w:rFonts w:ascii="宋体" w:hAnsi="宋体" w:cs="宋体"/>
                <w:b/>
                <w:bCs/>
                <w:color w:val="000000"/>
                <w:kern w:val="0"/>
                <w:sz w:val="22"/>
                <w:szCs w:val="22"/>
              </w:rPr>
            </w:pPr>
          </w:p>
        </w:tc>
        <w:tc>
          <w:tcPr>
            <w:tcW w:w="965" w:type="dxa"/>
            <w:vMerge w:val="continue"/>
            <w:vAlign w:val="center"/>
          </w:tcPr>
          <w:p>
            <w:pPr>
              <w:widowControl/>
              <w:jc w:val="left"/>
              <w:rPr>
                <w:rFonts w:ascii="宋体" w:hAnsi="宋体" w:cs="宋体"/>
                <w:b/>
                <w:bCs/>
                <w:color w:val="000000"/>
                <w:kern w:val="0"/>
                <w:sz w:val="22"/>
                <w:szCs w:val="22"/>
              </w:rPr>
            </w:pPr>
          </w:p>
        </w:tc>
        <w:tc>
          <w:tcPr>
            <w:tcW w:w="965" w:type="dxa"/>
            <w:vMerge w:val="continue"/>
            <w:vAlign w:val="center"/>
          </w:tcPr>
          <w:p>
            <w:pPr>
              <w:widowControl/>
              <w:jc w:val="left"/>
              <w:rPr>
                <w:rFonts w:ascii="宋体" w:hAnsi="宋体" w:cs="宋体"/>
                <w:b/>
                <w:bCs/>
                <w:color w:val="000000"/>
                <w:kern w:val="0"/>
                <w:sz w:val="22"/>
                <w:szCs w:val="22"/>
              </w:rPr>
            </w:pPr>
          </w:p>
        </w:tc>
        <w:tc>
          <w:tcPr>
            <w:tcW w:w="965" w:type="dxa"/>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72" w:type="dxa"/>
            <w:vMerge w:val="continue"/>
            <w:vAlign w:val="center"/>
          </w:tcPr>
          <w:p>
            <w:pPr>
              <w:widowControl/>
              <w:jc w:val="left"/>
              <w:rPr>
                <w:rFonts w:ascii="宋体" w:hAnsi="宋体" w:cs="宋体"/>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1.33</w:t>
            </w:r>
          </w:p>
        </w:tc>
        <w:tc>
          <w:tcPr>
            <w:tcW w:w="965" w:type="dxa"/>
            <w:shd w:val="clear" w:color="000000" w:fill="FFFFFF"/>
            <w:noWrap/>
            <w:vAlign w:val="center"/>
          </w:tcPr>
          <w:p>
            <w:pPr>
              <w:widowControl/>
              <w:jc w:val="center"/>
              <w:rPr>
                <w:rFonts w:ascii="宋体" w:hAnsi="宋体" w:cs="宋体"/>
                <w:color w:val="000000"/>
                <w:kern w:val="0"/>
                <w:sz w:val="22"/>
                <w:szCs w:val="22"/>
              </w:rPr>
            </w:pP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965" w:type="dxa"/>
            <w:shd w:val="clear" w:color="000000" w:fill="FFFFFF"/>
            <w:noWrap/>
            <w:vAlign w:val="center"/>
          </w:tcPr>
          <w:p>
            <w:pPr>
              <w:widowControl/>
              <w:jc w:val="center"/>
              <w:rPr>
                <w:rFonts w:ascii="宋体" w:hAnsi="宋体" w:cs="宋体"/>
                <w:color w:val="000000"/>
                <w:kern w:val="0"/>
                <w:sz w:val="22"/>
                <w:szCs w:val="22"/>
              </w:rPr>
            </w:pP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0.33</w:t>
            </w: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1.36</w:t>
            </w:r>
          </w:p>
        </w:tc>
        <w:tc>
          <w:tcPr>
            <w:tcW w:w="965" w:type="dxa"/>
            <w:shd w:val="clear" w:color="000000" w:fill="FFFFFF"/>
            <w:noWrap/>
            <w:vAlign w:val="center"/>
          </w:tcPr>
          <w:p>
            <w:pPr>
              <w:widowControl/>
              <w:jc w:val="center"/>
              <w:rPr>
                <w:rFonts w:ascii="宋体" w:hAnsi="宋体" w:cs="宋体"/>
                <w:color w:val="000000"/>
                <w:kern w:val="0"/>
                <w:sz w:val="22"/>
                <w:szCs w:val="22"/>
              </w:rPr>
            </w:pP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965" w:type="dxa"/>
            <w:shd w:val="clear" w:color="000000" w:fill="FFFFFF"/>
            <w:noWrap/>
            <w:vAlign w:val="center"/>
          </w:tcPr>
          <w:p>
            <w:pPr>
              <w:widowControl/>
              <w:jc w:val="center"/>
              <w:rPr>
                <w:rFonts w:ascii="宋体" w:hAnsi="宋体" w:cs="宋体"/>
                <w:color w:val="000000"/>
                <w:kern w:val="0"/>
                <w:sz w:val="22"/>
                <w:szCs w:val="22"/>
              </w:rPr>
            </w:pP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972"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0.36</w:t>
            </w:r>
          </w:p>
        </w:tc>
      </w:tr>
    </w:tbl>
    <w:p>
      <w:pPr>
        <w:rPr>
          <w:rFonts w:ascii="仿宋_GB2312" w:eastAsia="仿宋_GB2312"/>
          <w:sz w:val="32"/>
          <w:szCs w:val="32"/>
        </w:rPr>
      </w:pPr>
      <w:r>
        <w:rPr>
          <w:rFonts w:hint="eastAsia" w:ascii="仿宋_GB2312" w:eastAsia="仿宋_GB2312"/>
          <w:sz w:val="32"/>
          <w:szCs w:val="32"/>
        </w:rPr>
        <w:br w:type="page"/>
      </w:r>
    </w:p>
    <w:tbl>
      <w:tblPr>
        <w:tblStyle w:val="5"/>
        <w:tblW w:w="10279" w:type="dxa"/>
        <w:jc w:val="center"/>
        <w:tblLayout w:type="fixed"/>
        <w:tblCellMar>
          <w:top w:w="0" w:type="dxa"/>
          <w:left w:w="108" w:type="dxa"/>
          <w:bottom w:w="0" w:type="dxa"/>
          <w:right w:w="108" w:type="dxa"/>
        </w:tblCellMar>
      </w:tblPr>
      <w:tblGrid>
        <w:gridCol w:w="621"/>
        <w:gridCol w:w="621"/>
        <w:gridCol w:w="621"/>
        <w:gridCol w:w="2029"/>
        <w:gridCol w:w="2037"/>
        <w:gridCol w:w="2113"/>
        <w:gridCol w:w="2237"/>
      </w:tblGrid>
      <w:tr>
        <w:tblPrEx>
          <w:tblCellMar>
            <w:top w:w="0" w:type="dxa"/>
            <w:left w:w="108" w:type="dxa"/>
            <w:bottom w:w="0" w:type="dxa"/>
            <w:right w:w="108" w:type="dxa"/>
          </w:tblCellMar>
        </w:tblPrEx>
        <w:trPr>
          <w:trHeight w:val="200" w:hRule="atLeast"/>
          <w:jc w:val="center"/>
        </w:trPr>
        <w:tc>
          <w:tcPr>
            <w:tcW w:w="10279" w:type="dxa"/>
            <w:gridSpan w:val="7"/>
            <w:tcBorders>
              <w:top w:val="nil"/>
              <w:left w:val="nil"/>
              <w:bottom w:val="nil"/>
              <w:right w:val="nil"/>
            </w:tcBorders>
            <w:noWrap/>
            <w:vAlign w:val="center"/>
          </w:tcPr>
          <w:p>
            <w:pPr>
              <w:widowControl/>
              <w:jc w:val="right"/>
              <w:rPr>
                <w:rFonts w:ascii="宋体" w:hAnsi="宋体" w:cs="宋体"/>
                <w:b/>
                <w:bCs/>
                <w:kern w:val="0"/>
                <w:sz w:val="44"/>
                <w:szCs w:val="44"/>
              </w:rPr>
            </w:pPr>
            <w:r>
              <w:rPr>
                <w:rFonts w:hint="eastAsia" w:ascii="宋体" w:hAnsi="宋体" w:cs="宋体"/>
                <w:b/>
                <w:kern w:val="0"/>
                <w:sz w:val="18"/>
                <w:szCs w:val="18"/>
              </w:rPr>
              <w:t>部门公开表</w:t>
            </w:r>
            <w:r>
              <w:rPr>
                <w:rFonts w:ascii="宋体" w:hAnsi="宋体" w:cs="宋体"/>
                <w:b/>
                <w:kern w:val="0"/>
                <w:sz w:val="18"/>
                <w:szCs w:val="18"/>
              </w:rPr>
              <w:t>8</w:t>
            </w:r>
          </w:p>
        </w:tc>
      </w:tr>
      <w:tr>
        <w:tblPrEx>
          <w:tblCellMar>
            <w:top w:w="0" w:type="dxa"/>
            <w:left w:w="108" w:type="dxa"/>
            <w:bottom w:w="0" w:type="dxa"/>
            <w:right w:w="108" w:type="dxa"/>
          </w:tblCellMar>
        </w:tblPrEx>
        <w:trPr>
          <w:trHeight w:val="873" w:hRule="atLeast"/>
          <w:jc w:val="center"/>
        </w:trPr>
        <w:tc>
          <w:tcPr>
            <w:tcW w:w="1027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bookmarkStart w:id="4" w:name="RANGE!A1:G16"/>
            <w:bookmarkEnd w:id="4"/>
            <w:r>
              <w:rPr>
                <w:rFonts w:hint="eastAsia" w:ascii="宋体" w:hAnsi="宋体" w:cs="宋体"/>
                <w:b/>
                <w:bCs/>
                <w:kern w:val="0"/>
                <w:sz w:val="44"/>
                <w:szCs w:val="44"/>
              </w:rPr>
              <w:t>政府性基金预算支出表</w:t>
            </w:r>
          </w:p>
        </w:tc>
      </w:tr>
      <w:tr>
        <w:tblPrEx>
          <w:tblCellMar>
            <w:top w:w="0" w:type="dxa"/>
            <w:left w:w="108" w:type="dxa"/>
            <w:bottom w:w="0" w:type="dxa"/>
            <w:right w:w="108" w:type="dxa"/>
          </w:tblCellMar>
        </w:tblPrEx>
        <w:trPr>
          <w:trHeight w:val="228" w:hRule="atLeast"/>
          <w:jc w:val="center"/>
        </w:trPr>
        <w:tc>
          <w:tcPr>
            <w:tcW w:w="1027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404" w:hRule="atLeast"/>
          <w:jc w:val="center"/>
        </w:trPr>
        <w:tc>
          <w:tcPr>
            <w:tcW w:w="389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638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2023年预算数</w:t>
            </w:r>
          </w:p>
        </w:tc>
      </w:tr>
      <w:tr>
        <w:tblPrEx>
          <w:tblCellMar>
            <w:top w:w="0" w:type="dxa"/>
            <w:left w:w="108" w:type="dxa"/>
            <w:bottom w:w="0" w:type="dxa"/>
            <w:right w:w="108" w:type="dxa"/>
          </w:tblCellMar>
        </w:tblPrEx>
        <w:trPr>
          <w:trHeight w:val="339" w:hRule="atLeast"/>
          <w:jc w:val="center"/>
        </w:trPr>
        <w:tc>
          <w:tcPr>
            <w:tcW w:w="186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202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20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211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22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79" w:hRule="atLeast"/>
          <w:jc w:val="center"/>
        </w:trPr>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20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20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22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369" w:hRule="atLeast"/>
          <w:jc w:val="center"/>
        </w:trPr>
        <w:tc>
          <w:tcPr>
            <w:tcW w:w="3892"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20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tc>
        <w:tc>
          <w:tcPr>
            <w:tcW w:w="21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22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jc w:val="center"/>
        <w:rPr>
          <w:rFonts w:ascii="仿宋_GB2312" w:eastAsia="仿宋_GB2312"/>
          <w:sz w:val="32"/>
          <w:szCs w:val="32"/>
        </w:rPr>
      </w:pPr>
      <w:r>
        <w:rPr>
          <w:rFonts w:hint="eastAsia" w:ascii="仿宋_GB2312" w:eastAsia="仿宋_GB2312"/>
          <w:sz w:val="32"/>
          <w:szCs w:val="32"/>
        </w:rPr>
        <w:t>（注：此表为空表）</w:t>
      </w:r>
    </w:p>
    <w:p>
      <w:pPr>
        <w:rPr>
          <w:rFonts w:ascii="仿宋_GB2312" w:eastAsia="仿宋_GB2312"/>
          <w:sz w:val="32"/>
          <w:szCs w:val="32"/>
        </w:rPr>
      </w:pPr>
      <w:r>
        <w:rPr>
          <w:rFonts w:hint="eastAsia" w:ascii="仿宋_GB2312" w:eastAsia="仿宋_GB2312"/>
          <w:sz w:val="32"/>
          <w:szCs w:val="32"/>
        </w:rPr>
        <w:br w:type="page"/>
      </w:r>
    </w:p>
    <w:p>
      <w:pPr>
        <w:adjustRightInd w:val="0"/>
        <w:snapToGrid w:val="0"/>
        <w:spacing w:line="560" w:lineRule="exact"/>
        <w:ind w:firstLine="720" w:firstLineChars="200"/>
        <w:jc w:val="center"/>
        <w:rPr>
          <w:rFonts w:ascii="小标宋" w:eastAsia="小标宋"/>
          <w:b/>
          <w:color w:val="000000"/>
          <w:sz w:val="36"/>
          <w:szCs w:val="36"/>
        </w:rPr>
      </w:pPr>
      <w:bookmarkStart w:id="5" w:name="RANGE!A1:K13"/>
      <w:bookmarkEnd w:id="5"/>
      <w:r>
        <w:rPr>
          <w:rFonts w:hint="eastAsia" w:ascii="小标宋" w:eastAsia="小标宋"/>
          <w:b/>
          <w:color w:val="000000"/>
          <w:sz w:val="36"/>
          <w:szCs w:val="36"/>
        </w:rPr>
        <w:t>第三部分  部门预算情况说明</w:t>
      </w:r>
    </w:p>
    <w:p>
      <w:pPr>
        <w:ind w:firstLine="640" w:firstLineChars="200"/>
        <w:rPr>
          <w:rFonts w:ascii="黑体" w:hAnsi="宋体" w:eastAsia="黑体"/>
          <w:color w:val="000000"/>
          <w:sz w:val="32"/>
          <w:szCs w:val="32"/>
        </w:rPr>
      </w:pP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一、关于湟源县文体旅游局（本级）2023年部门收支预算情况的总体说明</w:t>
      </w:r>
    </w:p>
    <w:p>
      <w:pPr>
        <w:ind w:firstLine="640" w:firstLineChars="200"/>
        <w:rPr>
          <w:rFonts w:ascii="仿宋_GB2312" w:eastAsia="仿宋_GB2312"/>
          <w:sz w:val="32"/>
          <w:szCs w:val="32"/>
        </w:rPr>
      </w:pPr>
      <w:r>
        <w:rPr>
          <w:rFonts w:hint="eastAsia" w:ascii="仿宋_GB2312" w:eastAsia="仿宋_GB2312"/>
          <w:sz w:val="32"/>
          <w:szCs w:val="32"/>
        </w:rPr>
        <w:t>按照综合预算的原则，湟源县文体旅游局（本级）所有收入和支出均纳入部门预算管理。收入包括：一般公共预算拨款收入1016.79万元，上年结转743.44万元；支出包括：文化旅游体育与传媒支出1644.55万元，社会保障和就业支出67.56万元，卫生健康支出28.66万元，住房保障支出19.47万元。湟源县文体旅游局（本级）2023年收支总预算1760.23万元</w:t>
      </w:r>
      <w:r>
        <w:rPr>
          <w:rFonts w:ascii="仿宋_GB2312" w:eastAsia="仿宋_GB2312"/>
          <w:sz w:val="32"/>
          <w:szCs w:val="32"/>
        </w:rPr>
        <w:t>。</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二、关于湟源县文体旅游局（本级）2023年部门收入预算情况说明</w:t>
      </w:r>
    </w:p>
    <w:p>
      <w:pPr>
        <w:ind w:firstLine="640" w:firstLineChars="200"/>
        <w:rPr>
          <w:rFonts w:ascii="仿宋_GB2312" w:eastAsia="仿宋_GB2312"/>
          <w:sz w:val="32"/>
          <w:szCs w:val="32"/>
        </w:rPr>
      </w:pPr>
      <w:r>
        <w:rPr>
          <w:rFonts w:hint="eastAsia" w:ascii="仿宋_GB2312" w:eastAsia="仿宋_GB2312"/>
          <w:sz w:val="32"/>
          <w:szCs w:val="32"/>
        </w:rPr>
        <w:t>湟源县文体旅游局（本级）2023年收入预算1760.23万元，其中：上年结转743.44万元，占42.24%；一般公共预算拨款收入1016.79万元，占57.76%。</w:t>
      </w:r>
    </w:p>
    <w:p>
      <w:pPr>
        <w:ind w:firstLine="640" w:firstLineChars="200"/>
        <w:rPr>
          <w:rFonts w:ascii="仿宋_GB2312" w:eastAsia="仿宋_GB2312"/>
          <w:sz w:val="32"/>
          <w:szCs w:val="32"/>
        </w:rPr>
      </w:pPr>
      <w:r>
        <w:rPr>
          <w:rFonts w:ascii="仿宋_GB2312" w:eastAsia="仿宋_GB2312"/>
          <w:sz w:val="32"/>
          <w:szCs w:val="32"/>
        </w:rPr>
        <w:pict>
          <v:shape id="_x0000_i1025" o:spt="75" type="#_x0000_t75" style="height:161.25pt;width:350.25pt;" filled="f" o:preferrelative="t" stroked="f" coordsize="21600,21600">
            <v:path/>
            <v:fill on="f" focussize="0,0"/>
            <v:stroke on="f" joinstyle="miter"/>
            <v:imagedata r:id="rId7" o:title=""/>
            <o:lock v:ext="edit" aspectratio="t"/>
            <w10:wrap type="none"/>
            <w10:anchorlock/>
          </v:shape>
        </w:pic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三、关于湟源县文体旅游局（本级）2023年部门支出预算情况说明</w:t>
      </w:r>
    </w:p>
    <w:p>
      <w:pPr>
        <w:ind w:firstLine="645"/>
        <w:rPr>
          <w:rFonts w:ascii="仿宋_GB2312" w:eastAsia="仿宋_GB2312"/>
          <w:sz w:val="32"/>
          <w:szCs w:val="32"/>
        </w:rPr>
      </w:pPr>
      <w:r>
        <w:rPr>
          <w:rFonts w:hint="eastAsia" w:ascii="仿宋_GB2312" w:eastAsia="仿宋_GB2312"/>
          <w:sz w:val="32"/>
          <w:szCs w:val="32"/>
        </w:rPr>
        <w:t>湟源县文体旅游局（本级）2023年支出预算1760.23万元，其中：基本支出337.53万元，占19.18%；项目支出1422.70万元，占80.82%。</w:t>
      </w:r>
    </w:p>
    <w:p>
      <w:pPr>
        <w:ind w:firstLine="645"/>
        <w:rPr>
          <w:rFonts w:ascii="仿宋_GB2312" w:eastAsia="仿宋_GB2312"/>
          <w:sz w:val="32"/>
          <w:szCs w:val="32"/>
        </w:rPr>
      </w:pPr>
      <w:r>
        <w:rPr>
          <w:rFonts w:ascii="仿宋_GB2312" w:eastAsia="仿宋_GB2312"/>
          <w:sz w:val="32"/>
          <w:szCs w:val="32"/>
        </w:rPr>
        <w:pict>
          <v:shape id="_x0000_i1026" o:spt="75" type="#_x0000_t75" style="height:159.4pt;width:346.5pt;" filled="f" o:preferrelative="t" stroked="f" coordsize="21600,21600">
            <v:path/>
            <v:fill on="f" focussize="0,0"/>
            <v:stroke on="f" joinstyle="miter"/>
            <v:imagedata r:id="rId8" o:title=""/>
            <o:lock v:ext="edit" aspectratio="t"/>
            <w10:wrap type="none"/>
            <w10:anchorlock/>
          </v:shape>
        </w:pict>
      </w:r>
    </w:p>
    <w:p>
      <w:pPr>
        <w:adjustRightInd w:val="0"/>
        <w:snapToGrid w:val="0"/>
        <w:spacing w:line="560" w:lineRule="exact"/>
        <w:ind w:firstLine="640" w:firstLineChars="200"/>
        <w:rPr>
          <w:rFonts w:ascii="黑体" w:hAnsi="宋体" w:eastAsia="黑体"/>
          <w:color w:val="000000"/>
          <w:sz w:val="32"/>
          <w:szCs w:val="32"/>
        </w:rPr>
      </w:pPr>
      <w:r>
        <w:rPr>
          <w:rFonts w:hint="eastAsia" w:ascii="黑体" w:hAnsi="宋体" w:eastAsia="黑体"/>
          <w:color w:val="000000"/>
          <w:sz w:val="32"/>
          <w:szCs w:val="32"/>
        </w:rPr>
        <w:t>四、关于湟源县文体旅游局（本级）2023年财政拨款收支预算情况的总体说明</w:t>
      </w:r>
    </w:p>
    <w:p>
      <w:pPr>
        <w:ind w:firstLine="645"/>
        <w:rPr>
          <w:rFonts w:ascii="仿宋_GB2312" w:eastAsia="仿宋_GB2312"/>
          <w:sz w:val="32"/>
          <w:szCs w:val="32"/>
        </w:rPr>
      </w:pPr>
      <w:r>
        <w:rPr>
          <w:rFonts w:hint="eastAsia" w:ascii="仿宋_GB2312" w:eastAsia="仿宋_GB2312"/>
          <w:sz w:val="32"/>
          <w:szCs w:val="32"/>
        </w:rPr>
        <w:t>湟源县文体旅游局（本级）2023年财政拨款收支总预算1760.23万元，比上年增加699.81万元，主要是2023年增加专项资金。收入包括：一般公共预算拨款收入1016.79万元，上年结转743.44万元；政府性基金预算拨款收入0.00万元，上年结转0.00万元。支出包括： 文化旅游体育与传媒支出1644.55万元， 社会保障和就业支出67.56万元， 卫生健康支出28.66万元， 住房保障支出19.47万元。</w:t>
      </w:r>
    </w:p>
    <w:p>
      <w:pPr>
        <w:ind w:firstLine="645"/>
        <w:rPr>
          <w:rFonts w:ascii="仿宋_GB2312" w:eastAsia="仿宋_GB2312"/>
          <w:sz w:val="32"/>
          <w:szCs w:val="32"/>
        </w:rPr>
      </w:pPr>
      <w:r>
        <w:rPr>
          <w:rFonts w:ascii="仿宋_GB2312" w:eastAsia="仿宋_GB2312"/>
          <w:sz w:val="32"/>
          <w:szCs w:val="32"/>
        </w:rPr>
        <w:pict>
          <v:shape id="_x0000_i1027" o:spt="75" type="#_x0000_t75" style="height:160.15pt;width:347.65pt;" filled="f" o:preferrelative="t" stroked="f" coordsize="21600,21600">
            <v:path/>
            <v:fill on="f" focussize="0,0"/>
            <v:stroke on="f" joinstyle="miter"/>
            <v:imagedata r:id="rId9" o:title=""/>
            <o:lock v:ext="edit" aspectratio="t"/>
            <w10:wrap type="none"/>
            <w10:anchorlock/>
          </v:shape>
        </w:pic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五、关于湟源县文体旅游局（本级）2023年一般公共预算当年拨款情况说明</w:t>
      </w:r>
    </w:p>
    <w:p>
      <w:pPr>
        <w:ind w:firstLine="645"/>
        <w:rPr>
          <w:rFonts w:ascii="仿宋_GB2312" w:eastAsia="仿宋_GB2312"/>
          <w:b/>
          <w:sz w:val="32"/>
          <w:szCs w:val="32"/>
        </w:rPr>
      </w:pPr>
      <w:r>
        <w:rPr>
          <w:rFonts w:hint="eastAsia" w:ascii="仿宋_GB2312" w:eastAsia="仿宋_GB2312"/>
          <w:b/>
          <w:sz w:val="32"/>
          <w:szCs w:val="32"/>
        </w:rPr>
        <w:t>（一）一般公共预算当年拨款规模变化情况。</w:t>
      </w:r>
    </w:p>
    <w:p>
      <w:pPr>
        <w:ind w:firstLine="645"/>
        <w:rPr>
          <w:rFonts w:ascii="仿宋_GB2312" w:eastAsia="仿宋_GB2312"/>
          <w:iCs/>
          <w:sz w:val="32"/>
          <w:szCs w:val="32"/>
        </w:rPr>
      </w:pPr>
      <w:r>
        <w:rPr>
          <w:rFonts w:hint="eastAsia" w:ascii="仿宋_GB2312" w:eastAsia="仿宋_GB2312"/>
          <w:sz w:val="32"/>
          <w:szCs w:val="32"/>
        </w:rPr>
        <w:t>湟源县文体旅游局（本级）2023年一般公共预算当年拨款1016.79万元,比上年增加194.63万元，主要是人员经费增加</w:t>
      </w:r>
      <w:r>
        <w:rPr>
          <w:rFonts w:hint="eastAsia" w:ascii="仿宋_GB2312" w:eastAsia="仿宋_GB2312"/>
          <w:iCs/>
          <w:sz w:val="32"/>
          <w:szCs w:val="32"/>
        </w:rPr>
        <w:t>。</w:t>
      </w:r>
    </w:p>
    <w:p>
      <w:pPr>
        <w:ind w:firstLine="645"/>
        <w:rPr>
          <w:rFonts w:ascii="仿宋_GB2312" w:eastAsia="仿宋_GB2312"/>
          <w:iCs/>
          <w:sz w:val="32"/>
          <w:szCs w:val="32"/>
        </w:rPr>
      </w:pPr>
      <w:r>
        <w:rPr>
          <w:rFonts w:ascii="仿宋_GB2312" w:eastAsia="仿宋_GB2312"/>
          <w:iCs/>
          <w:sz w:val="32"/>
          <w:szCs w:val="32"/>
        </w:rPr>
        <w:pict>
          <v:shape id="_x0000_i1028" o:spt="75" type="#_x0000_t75" style="height:110.65pt;width:322.9pt;" filled="f" o:preferrelative="t" stroked="f" coordsize="21600,21600">
            <v:path/>
            <v:fill on="f" focussize="0,0"/>
            <v:stroke on="f" joinstyle="miter"/>
            <v:imagedata r:id="rId10" o:title=""/>
            <o:lock v:ext="edit" aspectratio="t"/>
            <w10:wrap type="none"/>
            <w10:anchorlock/>
          </v:shape>
        </w:pict>
      </w:r>
    </w:p>
    <w:p>
      <w:pPr>
        <w:ind w:firstLine="645"/>
        <w:rPr>
          <w:rFonts w:ascii="仿宋_GB2312" w:eastAsia="仿宋_GB2312"/>
          <w:b/>
          <w:sz w:val="32"/>
          <w:szCs w:val="32"/>
        </w:rPr>
      </w:pPr>
      <w:r>
        <w:rPr>
          <w:rFonts w:hint="eastAsia" w:ascii="仿宋_GB2312" w:eastAsia="仿宋_GB2312"/>
          <w:b/>
          <w:sz w:val="32"/>
          <w:szCs w:val="32"/>
        </w:rPr>
        <w:t>（二）一般公共预算当年拨款结构情况。</w:t>
      </w:r>
    </w:p>
    <w:p>
      <w:pPr>
        <w:ind w:firstLine="645"/>
        <w:rPr>
          <w:rFonts w:ascii="仿宋_GB2312" w:eastAsia="仿宋_GB2312"/>
          <w:sz w:val="32"/>
          <w:szCs w:val="32"/>
        </w:rPr>
      </w:pPr>
      <w:r>
        <w:rPr>
          <w:rFonts w:hint="eastAsia" w:ascii="仿宋_GB2312" w:eastAsia="仿宋_GB2312"/>
          <w:sz w:val="32"/>
          <w:szCs w:val="32"/>
        </w:rPr>
        <w:t>文化旅游体育与传媒支出901.10万元，占88.62%；社会保障和就业支出67.56万元，占6.64%；卫生健康支出28.66万元，占2.82%；住房保障支出19.47万元，占1.91%。</w:t>
      </w:r>
    </w:p>
    <w:p>
      <w:pPr>
        <w:ind w:firstLine="645"/>
        <w:rPr>
          <w:rFonts w:ascii="仿宋_GB2312" w:eastAsia="仿宋_GB2312"/>
          <w:sz w:val="32"/>
          <w:szCs w:val="32"/>
        </w:rPr>
      </w:pPr>
      <w:r>
        <w:rPr>
          <w:rFonts w:ascii="仿宋_GB2312" w:eastAsia="仿宋_GB2312"/>
          <w:sz w:val="32"/>
          <w:szCs w:val="32"/>
        </w:rPr>
        <w:pict>
          <v:shape id="_x0000_i1029" o:spt="75" type="#_x0000_t75" style="height:170.65pt;width:370.9pt;" filled="f" o:preferrelative="t" stroked="f" coordsize="21600,21600">
            <v:path/>
            <v:fill on="f" focussize="0,0"/>
            <v:stroke on="f" joinstyle="miter"/>
            <v:imagedata r:id="rId11" o:title=""/>
            <o:lock v:ext="edit" aspectratio="t"/>
            <w10:wrap type="none"/>
            <w10:anchorlock/>
          </v:shape>
        </w:pict>
      </w:r>
    </w:p>
    <w:p>
      <w:pPr>
        <w:ind w:firstLine="645"/>
        <w:rPr>
          <w:rFonts w:ascii="仿宋_GB2312" w:eastAsia="仿宋_GB2312"/>
          <w:b/>
          <w:sz w:val="32"/>
          <w:szCs w:val="32"/>
        </w:rPr>
      </w:pPr>
      <w:r>
        <w:rPr>
          <w:rFonts w:hint="eastAsia" w:ascii="仿宋_GB2312" w:eastAsia="仿宋_GB2312"/>
          <w:b/>
          <w:sz w:val="32"/>
          <w:szCs w:val="32"/>
        </w:rPr>
        <w:t>（三）一般公共预算当年拨款具体使用情况。</w:t>
      </w:r>
    </w:p>
    <w:p>
      <w:pPr>
        <w:ind w:firstLine="645"/>
        <w:rPr>
          <w:rFonts w:ascii="仿宋_GB2312" w:eastAsia="仿宋_GB2312"/>
          <w:sz w:val="32"/>
          <w:szCs w:val="32"/>
        </w:rPr>
      </w:pPr>
      <w:r>
        <w:rPr>
          <w:rFonts w:hint="eastAsia" w:ascii="仿宋_GB2312" w:eastAsia="仿宋_GB2312"/>
          <w:sz w:val="32"/>
          <w:szCs w:val="32"/>
        </w:rPr>
        <w:t>1、文化旅游体育与传媒支出（类）文化和旅游（款）行政运行（项）2023年预算数为104.50万元，比上年减少301.75万元，下降74.28%。主要是</w:t>
      </w:r>
      <w:bookmarkStart w:id="6" w:name="_Hlk136978580"/>
      <w:r>
        <w:rPr>
          <w:rFonts w:hint="eastAsia" w:ascii="仿宋_GB2312" w:eastAsia="仿宋_GB2312"/>
          <w:sz w:val="32"/>
          <w:szCs w:val="32"/>
        </w:rPr>
        <w:t>功能款项调整</w:t>
      </w:r>
      <w:bookmarkEnd w:id="6"/>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2、文化旅游体育与传媒支出（类）文化和旅游（款）文化创作与保护（项）2023年预算数为0.00万元，比上年减少10.00万元，下降100.00%。主要是市级专项资金减少。</w:t>
      </w:r>
    </w:p>
    <w:p>
      <w:pPr>
        <w:ind w:firstLine="645"/>
        <w:rPr>
          <w:rFonts w:hint="eastAsia" w:ascii="仿宋_GB2312" w:eastAsia="仿宋_GB2312"/>
          <w:sz w:val="32"/>
          <w:szCs w:val="32"/>
        </w:rPr>
      </w:pPr>
      <w:r>
        <w:rPr>
          <w:rFonts w:hint="eastAsia" w:ascii="仿宋_GB2312" w:eastAsia="仿宋_GB2312"/>
          <w:sz w:val="32"/>
          <w:szCs w:val="32"/>
        </w:rPr>
        <w:t>3、文化旅游体育与传媒支出（类）文化和旅游（款）文化和旅游市场管理（项）2023年预算数为92.41万元，比上年增加25.72万元，增长38.57%。主要是功能款项调整。</w:t>
      </w:r>
    </w:p>
    <w:p>
      <w:pPr>
        <w:ind w:firstLine="645"/>
        <w:rPr>
          <w:rFonts w:hint="eastAsia" w:ascii="仿宋_GB2312" w:eastAsia="仿宋_GB2312"/>
          <w:sz w:val="32"/>
          <w:szCs w:val="32"/>
        </w:rPr>
      </w:pPr>
      <w:r>
        <w:rPr>
          <w:rFonts w:hint="eastAsia" w:ascii="仿宋_GB2312" w:eastAsia="仿宋_GB2312"/>
          <w:sz w:val="32"/>
          <w:szCs w:val="32"/>
        </w:rPr>
        <w:t>4、文化旅游体育与传媒支出（类）文化和旅游（款）其他文化和旅游支出（项）2023年预算数为300.00万元，比上年增加300.00万元，增长100.00%。主要是文化旅游类项目增加。</w:t>
      </w:r>
    </w:p>
    <w:p>
      <w:pPr>
        <w:ind w:firstLine="645"/>
        <w:rPr>
          <w:rFonts w:hint="eastAsia" w:ascii="仿宋_GB2312" w:eastAsia="仿宋_GB2312"/>
          <w:sz w:val="32"/>
          <w:szCs w:val="32"/>
          <w:lang w:val="en-US" w:eastAsia="zh-CN"/>
        </w:rPr>
      </w:pPr>
      <w:r>
        <w:rPr>
          <w:rFonts w:hint="eastAsia" w:ascii="仿宋_GB2312" w:eastAsia="仿宋_GB2312"/>
          <w:sz w:val="32"/>
          <w:szCs w:val="32"/>
        </w:rPr>
        <w:t>5、文化旅游体育与传媒支出（类）文物（款）博物馆（项）2023年预算数为47.00万元，比上年增加0.00万元，增长0.00%。</w:t>
      </w:r>
      <w:r>
        <w:rPr>
          <w:rFonts w:hint="eastAsia" w:ascii="仿宋_GB2312" w:eastAsia="仿宋_GB2312"/>
          <w:sz w:val="32"/>
          <w:szCs w:val="32"/>
          <w:lang w:val="en-US" w:eastAsia="zh-CN"/>
        </w:rPr>
        <w:t>与上年持平。</w:t>
      </w:r>
    </w:p>
    <w:p>
      <w:pPr>
        <w:ind w:firstLine="645"/>
        <w:rPr>
          <w:rFonts w:hint="eastAsia" w:ascii="仿宋_GB2312" w:eastAsia="仿宋_GB2312"/>
          <w:sz w:val="32"/>
          <w:szCs w:val="32"/>
        </w:rPr>
      </w:pPr>
      <w:r>
        <w:rPr>
          <w:rFonts w:hint="eastAsia" w:ascii="仿宋_GB2312" w:eastAsia="仿宋_GB2312"/>
          <w:sz w:val="32"/>
          <w:szCs w:val="32"/>
        </w:rPr>
        <w:t>6、文化旅游体育与传媒支出（类）其他文化旅游体育与传媒支出（款）其他文化旅游体育与传媒支出（项）2023年预算数为357.19万元，比上年增加157.43万元，增长78.81%。主要是功能款项调整，文化旅游类项目资金增加。</w:t>
      </w:r>
    </w:p>
    <w:p>
      <w:pPr>
        <w:ind w:firstLine="645"/>
        <w:rPr>
          <w:rFonts w:hint="eastAsia" w:ascii="仿宋_GB2312" w:eastAsia="仿宋_GB2312"/>
          <w:sz w:val="32"/>
          <w:szCs w:val="32"/>
        </w:rPr>
      </w:pPr>
      <w:r>
        <w:rPr>
          <w:rFonts w:hint="eastAsia" w:ascii="仿宋_GB2312" w:eastAsia="仿宋_GB2312"/>
          <w:sz w:val="32"/>
          <w:szCs w:val="32"/>
        </w:rPr>
        <w:t>7、社会保障和就业支出（类）行政事业单位养老支出（款）机关事业单位基本养老保险缴费支出（项）2023年预算数为20.77万元，比上年增加7.01万元，增长50.94%。主要是缴费基数调整，经费增加。</w:t>
      </w:r>
    </w:p>
    <w:p>
      <w:pPr>
        <w:ind w:firstLine="645"/>
        <w:rPr>
          <w:rFonts w:hint="eastAsia" w:ascii="仿宋_GB2312" w:eastAsia="仿宋_GB2312"/>
          <w:sz w:val="32"/>
          <w:szCs w:val="32"/>
        </w:rPr>
      </w:pPr>
      <w:r>
        <w:rPr>
          <w:rFonts w:hint="eastAsia" w:ascii="仿宋_GB2312" w:eastAsia="仿宋_GB2312"/>
          <w:sz w:val="32"/>
          <w:szCs w:val="32"/>
        </w:rPr>
        <w:t>8、社会保障和就业支出（类）行政事业单位养老支出（款）机关事业单位职业年金缴费支出（项）2023年预算数为10.39万元，比上年增加3.51万元，增长51.02%。主要是缴费基数调整，经费增加。</w:t>
      </w:r>
    </w:p>
    <w:p>
      <w:pPr>
        <w:ind w:firstLine="645"/>
        <w:rPr>
          <w:rFonts w:hint="eastAsia" w:ascii="仿宋_GB2312" w:eastAsia="仿宋_GB2312"/>
          <w:sz w:val="32"/>
          <w:szCs w:val="32"/>
        </w:rPr>
      </w:pPr>
      <w:r>
        <w:rPr>
          <w:rFonts w:hint="eastAsia" w:ascii="仿宋_GB2312" w:eastAsia="仿宋_GB2312"/>
          <w:sz w:val="32"/>
          <w:szCs w:val="32"/>
        </w:rPr>
        <w:t>9、社会保障和就业支出（类）行政事业单位养老支出（款）其他行政事业单位养老支出（项）2023年预算数为35.63万元，比上年增加2.18万元，增长6.52%。主要是缴费基数调整，经费增加。</w:t>
      </w:r>
    </w:p>
    <w:p>
      <w:pPr>
        <w:ind w:firstLine="645"/>
        <w:rPr>
          <w:rFonts w:hint="eastAsia" w:ascii="仿宋_GB2312" w:eastAsia="仿宋_GB2312"/>
          <w:sz w:val="32"/>
          <w:szCs w:val="32"/>
        </w:rPr>
      </w:pPr>
      <w:r>
        <w:rPr>
          <w:rFonts w:hint="eastAsia" w:ascii="仿宋_GB2312" w:eastAsia="仿宋_GB2312"/>
          <w:sz w:val="32"/>
          <w:szCs w:val="32"/>
        </w:rPr>
        <w:t>10、社会保障和就业支出（类）其他社会保障和就业支出（款）其他社会保障和就业支出（项）2023年预算数为0.77万元，比上年增加0.12万元，增长18.46%。主要是缴费基数调整，经费增加。</w:t>
      </w:r>
    </w:p>
    <w:p>
      <w:pPr>
        <w:ind w:firstLine="645"/>
        <w:rPr>
          <w:rFonts w:hint="eastAsia" w:ascii="仿宋_GB2312" w:eastAsia="仿宋_GB2312"/>
          <w:sz w:val="32"/>
          <w:szCs w:val="32"/>
        </w:rPr>
      </w:pPr>
      <w:r>
        <w:rPr>
          <w:rFonts w:hint="eastAsia" w:ascii="仿宋_GB2312" w:eastAsia="仿宋_GB2312"/>
          <w:sz w:val="32"/>
          <w:szCs w:val="32"/>
        </w:rPr>
        <w:t>11、卫生健康支出（类）行政事业单位医疗（款）行政单位医疗（项）2023年预算数为15.25万元，比上年增加1.41万元，增长10.19%。主要是缴费基数调整，经费增加。</w:t>
      </w:r>
    </w:p>
    <w:p>
      <w:pPr>
        <w:ind w:firstLine="645"/>
        <w:rPr>
          <w:rFonts w:hint="eastAsia" w:ascii="仿宋_GB2312" w:eastAsia="仿宋_GB2312"/>
          <w:sz w:val="32"/>
          <w:szCs w:val="32"/>
        </w:rPr>
      </w:pPr>
      <w:r>
        <w:rPr>
          <w:rFonts w:hint="eastAsia" w:ascii="仿宋_GB2312" w:eastAsia="仿宋_GB2312"/>
          <w:sz w:val="32"/>
          <w:szCs w:val="32"/>
        </w:rPr>
        <w:t>12、卫生健康支出（类）行政事业单位医疗（款）事业单位医疗（项）2023年预算数为3.84万元，比上年增加0.75万元，增长24.27%。主要是缴费基数调整，经费增加。</w:t>
      </w:r>
    </w:p>
    <w:p>
      <w:pPr>
        <w:ind w:firstLine="645"/>
        <w:rPr>
          <w:rFonts w:hint="eastAsia" w:ascii="仿宋_GB2312" w:eastAsia="仿宋_GB2312"/>
          <w:sz w:val="32"/>
          <w:szCs w:val="32"/>
        </w:rPr>
      </w:pPr>
      <w:r>
        <w:rPr>
          <w:rFonts w:hint="eastAsia" w:ascii="仿宋_GB2312" w:eastAsia="仿宋_GB2312"/>
          <w:sz w:val="32"/>
          <w:szCs w:val="32"/>
        </w:rPr>
        <w:t>13、卫生健康支出（类）行政事业单位医疗（款）公务员医疗补助（项）2023年预算数为9.57万元，比上年增加1.26万元，增长15.16%。主要是缴费基数调整，经费增加。</w:t>
      </w:r>
    </w:p>
    <w:p>
      <w:pPr>
        <w:ind w:firstLine="645"/>
        <w:rPr>
          <w:rFonts w:hint="eastAsia" w:ascii="仿宋_GB2312" w:eastAsia="仿宋_GB2312"/>
          <w:sz w:val="32"/>
          <w:szCs w:val="32"/>
        </w:rPr>
      </w:pPr>
      <w:r>
        <w:rPr>
          <w:rFonts w:hint="eastAsia" w:ascii="仿宋_GB2312" w:eastAsia="仿宋_GB2312"/>
          <w:sz w:val="32"/>
          <w:szCs w:val="32"/>
        </w:rPr>
        <w:t>14、住房保障支出（类）住房改革支出（款）住房公积金（项）2023年预算数为19.47万元，比上年增加6.99万元，增长56.01%。主要是缴费基数调整，经费增加。</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六</w:t>
      </w:r>
      <w:r>
        <w:rPr>
          <w:rFonts w:ascii="黑体" w:hAnsi="宋体" w:eastAsia="黑体"/>
          <w:color w:val="000000"/>
          <w:sz w:val="32"/>
          <w:szCs w:val="32"/>
        </w:rPr>
        <w:t>、关于</w:t>
      </w:r>
      <w:r>
        <w:rPr>
          <w:rFonts w:hint="eastAsia" w:ascii="黑体" w:hAnsi="宋体" w:eastAsia="黑体"/>
          <w:color w:val="000000"/>
          <w:sz w:val="32"/>
          <w:szCs w:val="32"/>
        </w:rPr>
        <w:t>湟源县文体旅游局（本级）2023</w:t>
      </w:r>
      <w:r>
        <w:rPr>
          <w:rFonts w:ascii="黑体" w:hAnsi="宋体" w:eastAsia="黑体"/>
          <w:color w:val="000000"/>
          <w:sz w:val="32"/>
          <w:szCs w:val="32"/>
        </w:rPr>
        <w:t>年</w:t>
      </w:r>
      <w:r>
        <w:rPr>
          <w:rFonts w:hint="eastAsia" w:ascii="黑体" w:hAnsi="宋体" w:eastAsia="黑体"/>
          <w:color w:val="000000"/>
          <w:sz w:val="32"/>
          <w:szCs w:val="32"/>
        </w:rPr>
        <w:t>一般公共预算基本支出情况说明</w:t>
      </w:r>
    </w:p>
    <w:p>
      <w:pPr>
        <w:ind w:firstLine="640" w:firstLineChars="200"/>
        <w:rPr>
          <w:rFonts w:ascii="仿宋_GB2312" w:eastAsia="仿宋_GB2312"/>
          <w:sz w:val="32"/>
          <w:szCs w:val="32"/>
        </w:rPr>
      </w:pPr>
      <w:r>
        <w:rPr>
          <w:rFonts w:hint="eastAsia" w:ascii="仿宋_GB2312" w:eastAsia="仿宋_GB2312"/>
          <w:sz w:val="32"/>
          <w:szCs w:val="32"/>
        </w:rPr>
        <w:t>湟源县文体旅游局（本级）2023年一般公共预算基本支出337.53万元，其中：</w:t>
      </w:r>
    </w:p>
    <w:p>
      <w:pPr>
        <w:ind w:firstLine="640" w:firstLineChars="200"/>
        <w:rPr>
          <w:rFonts w:ascii="仿宋_GB2312" w:eastAsia="仿宋_GB2312"/>
          <w:sz w:val="32"/>
          <w:szCs w:val="32"/>
        </w:rPr>
      </w:pPr>
      <w:r>
        <w:rPr>
          <w:rFonts w:hint="eastAsia" w:ascii="黑体" w:eastAsia="黑体"/>
          <w:sz w:val="32"/>
          <w:szCs w:val="32"/>
        </w:rPr>
        <w:t>人员经费</w:t>
      </w:r>
      <w:r>
        <w:rPr>
          <w:rFonts w:hint="eastAsia" w:ascii="仿宋_GB2312" w:eastAsia="仿宋_GB2312"/>
          <w:sz w:val="32"/>
          <w:szCs w:val="32"/>
        </w:rPr>
        <w:t>322.14万元，主要包括：基本工资47.24万元、津贴补贴60.88万元、奖金31.96万元、绩效工资36.44万元、机关事业单位基本养老保险缴费20.77万元、职业年金缴费10.39万元、职工基本医疗保险缴费7.78万元、公务员医疗补助缴费9.57万元、其他社会保障缴费0.77万元、住房公积金19.47万元、其他工资福利支出29.93万元、退休费32.36万元、生活补助3.27万元、医疗费补助11.31万元；</w:t>
      </w:r>
    </w:p>
    <w:p>
      <w:pPr>
        <w:ind w:firstLine="640" w:firstLineChars="200"/>
        <w:rPr>
          <w:rFonts w:ascii="仿宋_GB2312" w:eastAsia="仿宋_GB2312"/>
          <w:sz w:val="32"/>
          <w:szCs w:val="32"/>
        </w:rPr>
      </w:pPr>
      <w:r>
        <w:rPr>
          <w:rFonts w:hint="eastAsia" w:ascii="黑体" w:eastAsia="黑体"/>
          <w:sz w:val="32"/>
          <w:szCs w:val="32"/>
        </w:rPr>
        <w:t>公用经费</w:t>
      </w:r>
      <w:r>
        <w:rPr>
          <w:rFonts w:hint="eastAsia" w:ascii="仿宋_GB2312" w:eastAsia="仿宋_GB2312"/>
          <w:sz w:val="32"/>
          <w:szCs w:val="32"/>
        </w:rPr>
        <w:t>15.38万元，主要包括：办公费1.32万元、水费0.24万元、电费0.24万元、邮电费0.96万元、取暖费1.20万元、差旅费1.08万元、公务接待费0.36万元、工会经费2.39万元、公务用车运行维护费1.00万元、其他交通费用5.24万元、其他商品和服务支出1.35万元。</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七</w:t>
      </w:r>
      <w:r>
        <w:rPr>
          <w:rFonts w:ascii="黑体" w:hAnsi="宋体" w:eastAsia="黑体"/>
          <w:color w:val="000000"/>
          <w:sz w:val="32"/>
          <w:szCs w:val="32"/>
        </w:rPr>
        <w:t>、关于</w:t>
      </w:r>
      <w:r>
        <w:rPr>
          <w:rFonts w:hint="eastAsia" w:ascii="黑体" w:hAnsi="宋体" w:eastAsia="黑体"/>
          <w:color w:val="000000"/>
          <w:sz w:val="32"/>
          <w:szCs w:val="32"/>
        </w:rPr>
        <w:t>湟源县文体旅游局（本级）2023</w:t>
      </w:r>
      <w:r>
        <w:rPr>
          <w:rFonts w:ascii="黑体" w:hAnsi="宋体" w:eastAsia="黑体"/>
          <w:color w:val="000000"/>
          <w:sz w:val="32"/>
          <w:szCs w:val="32"/>
        </w:rPr>
        <w:t>年</w:t>
      </w:r>
      <w:r>
        <w:rPr>
          <w:rFonts w:hint="eastAsia" w:ascii="黑体" w:hAnsi="宋体" w:eastAsia="黑体"/>
          <w:color w:val="000000"/>
          <w:sz w:val="32"/>
          <w:szCs w:val="32"/>
        </w:rPr>
        <w:t>一般公共预算“三公”经费预算情况说明</w:t>
      </w:r>
    </w:p>
    <w:p>
      <w:pPr>
        <w:ind w:firstLine="640" w:firstLineChars="200"/>
        <w:rPr>
          <w:rFonts w:hint="eastAsia" w:ascii="仿宋_GB2312" w:eastAsia="仿宋_GB2312"/>
          <w:sz w:val="32"/>
          <w:szCs w:val="32"/>
        </w:rPr>
      </w:pPr>
      <w:r>
        <w:rPr>
          <w:rFonts w:hint="eastAsia" w:ascii="仿宋_GB2312" w:eastAsia="仿宋_GB2312"/>
          <w:sz w:val="32"/>
          <w:szCs w:val="32"/>
        </w:rPr>
        <w:t>湟源县文体旅游局（本级）2023年一般公共预算“三公”经费预算数为1.36万元，比上年增加0.03万元，其中：因公出国（境）费0.00万元，增加0.00万元；公务用车购置及运行费1.00万元，增加0.00万元；公务接待费0.36万元，增加0.03万元。2023年“三公”经费预算比上年增加主要是公务接待量增加。</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八</w:t>
      </w:r>
      <w:r>
        <w:rPr>
          <w:rFonts w:ascii="黑体" w:hAnsi="宋体" w:eastAsia="黑体"/>
          <w:color w:val="000000"/>
          <w:sz w:val="32"/>
          <w:szCs w:val="32"/>
        </w:rPr>
        <w:t>、关于</w:t>
      </w:r>
      <w:r>
        <w:rPr>
          <w:rFonts w:hint="eastAsia" w:ascii="黑体" w:hAnsi="宋体" w:eastAsia="黑体"/>
          <w:color w:val="000000"/>
          <w:sz w:val="32"/>
          <w:szCs w:val="32"/>
        </w:rPr>
        <w:t>湟源县文体旅游局（本级）2023</w:t>
      </w:r>
      <w:r>
        <w:rPr>
          <w:rFonts w:ascii="黑体" w:hAnsi="宋体" w:eastAsia="黑体"/>
          <w:color w:val="000000"/>
          <w:sz w:val="32"/>
          <w:szCs w:val="32"/>
        </w:rPr>
        <w:t>年</w:t>
      </w:r>
      <w:r>
        <w:rPr>
          <w:rFonts w:hint="eastAsia" w:ascii="黑体" w:hAnsi="宋体" w:eastAsia="黑体"/>
          <w:color w:val="000000"/>
          <w:sz w:val="32"/>
          <w:szCs w:val="32"/>
        </w:rPr>
        <w:t>政府性基金预算支出情况的说明</w:t>
      </w:r>
    </w:p>
    <w:p>
      <w:pPr>
        <w:ind w:firstLine="640" w:firstLineChars="200"/>
        <w:rPr>
          <w:rFonts w:ascii="仿宋_GB2312" w:eastAsia="仿宋_GB2312"/>
          <w:sz w:val="32"/>
          <w:szCs w:val="32"/>
        </w:rPr>
      </w:pPr>
      <w:r>
        <w:rPr>
          <w:rFonts w:hint="eastAsia" w:ascii="仿宋_GB2312" w:eastAsia="仿宋_GB2312"/>
          <w:sz w:val="32"/>
          <w:szCs w:val="32"/>
        </w:rPr>
        <w:t>湟源县文体旅游局（本级）2023年没有使用政府性基金预算拨款安排的支出。</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九、其他重要事项的情况说明</w:t>
      </w:r>
    </w:p>
    <w:p>
      <w:pPr>
        <w:adjustRightInd w:val="0"/>
        <w:snapToGrid w:val="0"/>
        <w:spacing w:line="560" w:lineRule="exact"/>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（一）机关运行经费安排情况。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Times New Roman" w:eastAsia="仿宋_GB2312" w:cs="Times New Roman"/>
          <w:kern w:val="2"/>
          <w:sz w:val="32"/>
          <w:szCs w:val="32"/>
          <w:lang w:val="en-US" w:eastAsia="zh-CN" w:bidi="ar-SA"/>
        </w:rPr>
      </w:pPr>
      <w:r>
        <w:rPr>
          <w:rFonts w:hint="eastAsia" w:ascii="仿宋_GB2312" w:hAnsi="仿宋" w:eastAsia="仿宋_GB2312"/>
          <w:spacing w:val="-6"/>
          <w:kern w:val="2"/>
          <w:sz w:val="32"/>
          <w:szCs w:val="32"/>
          <w:lang w:val="en-US"/>
        </w:rPr>
        <w:t>2023年湟源县文体旅游局（本级）机关运行经费财政拨款预算15.38万元，比</w:t>
      </w:r>
      <w:r>
        <w:rPr>
          <w:rFonts w:hint="eastAsia" w:ascii="仿宋_GB2312" w:eastAsia="仿宋_GB2312"/>
          <w:sz w:val="32"/>
          <w:szCs w:val="32"/>
        </w:rPr>
        <w:t>上</w:t>
      </w:r>
      <w:r>
        <w:rPr>
          <w:rFonts w:hint="eastAsia" w:ascii="仿宋_GB2312" w:hAnsi="仿宋" w:eastAsia="仿宋_GB2312"/>
          <w:spacing w:val="-6"/>
          <w:kern w:val="2"/>
          <w:sz w:val="32"/>
          <w:szCs w:val="32"/>
          <w:lang w:val="en-US"/>
        </w:rPr>
        <w:t>年预</w:t>
      </w:r>
      <w:r>
        <w:rPr>
          <w:rFonts w:hint="eastAsia" w:ascii="仿宋_GB2312" w:hAnsi="Times New Roman" w:eastAsia="仿宋_GB2312" w:cs="Times New Roman"/>
          <w:kern w:val="2"/>
          <w:sz w:val="32"/>
          <w:szCs w:val="32"/>
          <w:lang w:val="en-US" w:eastAsia="zh-CN" w:bidi="ar-SA"/>
        </w:rPr>
        <w:t>算增加1.22万元，增长8.62%。主要是物价上涨、办公用房取暖费等增加。</w:t>
      </w:r>
    </w:p>
    <w:p>
      <w:pPr>
        <w:adjustRightInd w:val="0"/>
        <w:snapToGrid w:val="0"/>
        <w:spacing w:line="560" w:lineRule="exact"/>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（二）政府采购安排情况。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Times New Roman" w:eastAsia="仿宋_GB2312" w:cs="Times New Roman"/>
          <w:kern w:val="2"/>
          <w:sz w:val="32"/>
          <w:szCs w:val="32"/>
          <w:lang w:val="en-US" w:eastAsia="zh-CN" w:bidi="ar-SA"/>
        </w:rPr>
      </w:pPr>
      <w:bookmarkStart w:id="7" w:name="_GoBack"/>
      <w:r>
        <w:rPr>
          <w:rFonts w:hint="eastAsia" w:ascii="仿宋_GB2312" w:hAnsi="仿宋" w:eastAsia="仿宋_GB2312"/>
          <w:spacing w:val="-6"/>
          <w:kern w:val="2"/>
          <w:sz w:val="32"/>
          <w:szCs w:val="32"/>
          <w:lang w:val="en-US"/>
        </w:rPr>
        <w:t>2023年湟源县文体旅游局（本级）各单位政府采购预算总额</w:t>
      </w:r>
      <w:r>
        <w:rPr>
          <w:rFonts w:ascii="仿宋_GB2312" w:hAnsi="仿宋" w:eastAsia="仿宋_GB2312"/>
          <w:spacing w:val="-6"/>
          <w:kern w:val="2"/>
          <w:sz w:val="32"/>
          <w:szCs w:val="32"/>
          <w:lang w:val="en-US"/>
        </w:rPr>
        <w:t>0</w:t>
      </w:r>
      <w:r>
        <w:rPr>
          <w:rFonts w:hint="eastAsia" w:ascii="仿宋_GB2312" w:hAnsi="仿宋" w:eastAsia="仿宋_GB2312"/>
          <w:spacing w:val="-6"/>
          <w:kern w:val="2"/>
          <w:sz w:val="32"/>
          <w:szCs w:val="32"/>
          <w:lang w:val="en-US"/>
        </w:rPr>
        <w:t>万元</w:t>
      </w:r>
      <w:r>
        <w:rPr>
          <w:rFonts w:hint="eastAsia" w:ascii="仿宋_GB2312" w:hAnsi="Times New Roman" w:eastAsia="仿宋_GB2312" w:cs="Times New Roman"/>
          <w:kern w:val="2"/>
          <w:sz w:val="32"/>
          <w:szCs w:val="32"/>
          <w:lang w:val="en-US" w:eastAsia="zh-CN" w:bidi="ar-SA"/>
        </w:rPr>
        <w:t>，其中：政府采购货物预算0万元、政府采购工程预算0万元、政府采购服务预算0万元。</w:t>
      </w:r>
    </w:p>
    <w:bookmarkEnd w:id="7"/>
    <w:p>
      <w:pPr>
        <w:adjustRightInd w:val="0"/>
        <w:snapToGrid w:val="0"/>
        <w:spacing w:line="560" w:lineRule="exact"/>
        <w:ind w:firstLine="619" w:firstLineChars="200"/>
        <w:rPr>
          <w:rFonts w:ascii="楷体" w:hAnsi="楷体" w:eastAsia="楷体"/>
          <w:color w:val="000000"/>
          <w:sz w:val="30"/>
          <w:szCs w:val="30"/>
        </w:rPr>
      </w:pPr>
      <w:r>
        <w:rPr>
          <w:rFonts w:hint="eastAsia" w:ascii="仿宋_GB2312" w:hAnsi="仿宋" w:eastAsia="仿宋_GB2312"/>
          <w:b/>
          <w:spacing w:val="-6"/>
          <w:sz w:val="32"/>
          <w:szCs w:val="32"/>
        </w:rPr>
        <w:t>（三）国有资产占有使用情况。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截至2023年2月底，湟源县文体旅游局（本级）所属各预算单位共有车辆1辆，其中，省级领导干部用车0辆、厅级领导干部用车0辆、一般公务用车1辆、一般执法执勤用车0辆、特种专业技术用车0辆、其他用车0辆。单价50万元以上通用设备0台（套），单价100万元以上专用设备0台（套）。</w:t>
      </w:r>
    </w:p>
    <w:p>
      <w:pPr>
        <w:adjustRightInd w:val="0"/>
        <w:snapToGrid w:val="0"/>
        <w:spacing w:line="560" w:lineRule="exact"/>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（四）绩效目标设置情况。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2023年湟源县文体旅游局（本级）预算均实行绩效目标管理，涉及项目7个，预算金额679.26万元。</w:t>
      </w:r>
    </w:p>
    <w:p>
      <w:pPr>
        <w:jc w:val="center"/>
        <w:rPr>
          <w:rFonts w:ascii="仿宋_GB2312" w:eastAsia="仿宋_GB2312"/>
          <w:b/>
          <w:sz w:val="32"/>
          <w:szCs w:val="32"/>
        </w:rPr>
      </w:pPr>
    </w:p>
    <w:tbl>
      <w:tblPr>
        <w:tblStyle w:val="5"/>
        <w:tblW w:w="10112" w:type="dxa"/>
        <w:jc w:val="center"/>
        <w:tblLayout w:type="fixed"/>
        <w:tblCellMar>
          <w:top w:w="0" w:type="dxa"/>
          <w:left w:w="108" w:type="dxa"/>
          <w:bottom w:w="0" w:type="dxa"/>
          <w:right w:w="108" w:type="dxa"/>
        </w:tblCellMar>
      </w:tblPr>
      <w:tblGrid>
        <w:gridCol w:w="1487"/>
        <w:gridCol w:w="1213"/>
        <w:gridCol w:w="1275"/>
        <w:gridCol w:w="975"/>
        <w:gridCol w:w="1012"/>
        <w:gridCol w:w="1375"/>
        <w:gridCol w:w="938"/>
        <w:gridCol w:w="937"/>
        <w:gridCol w:w="900"/>
      </w:tblGrid>
      <w:tr>
        <w:tblPrEx>
          <w:tblCellMar>
            <w:top w:w="0" w:type="dxa"/>
            <w:left w:w="108" w:type="dxa"/>
            <w:bottom w:w="0" w:type="dxa"/>
            <w:right w:w="108" w:type="dxa"/>
          </w:tblCellMar>
        </w:tblPrEx>
        <w:trPr>
          <w:trHeight w:val="420" w:hRule="atLeast"/>
          <w:jc w:val="center"/>
        </w:trPr>
        <w:tc>
          <w:tcPr>
            <w:tcW w:w="10112" w:type="dxa"/>
            <w:gridSpan w:val="9"/>
            <w:tcBorders>
              <w:top w:val="nil"/>
              <w:left w:val="nil"/>
              <w:bottom w:val="nil"/>
              <w:right w:val="nil"/>
            </w:tcBorders>
            <w:shd w:val="clear" w:color="auto" w:fill="auto"/>
            <w:noWrap/>
            <w:vAlign w:val="center"/>
          </w:tcPr>
          <w:p>
            <w:pPr>
              <w:widowControl/>
              <w:jc w:val="center"/>
              <w:textAlignment w:val="center"/>
              <w:rPr>
                <w:rFonts w:ascii="黑体" w:hAnsi="宋体" w:eastAsia="黑体" w:cs="黑体"/>
                <w:b/>
                <w:bCs/>
                <w:color w:val="000000"/>
                <w:sz w:val="32"/>
                <w:szCs w:val="32"/>
              </w:rPr>
            </w:pPr>
            <w:r>
              <w:rPr>
                <w:rFonts w:hint="eastAsia" w:ascii="黑体" w:hAnsi="宋体" w:eastAsia="黑体" w:cs="黑体"/>
                <w:b/>
                <w:bCs/>
                <w:color w:val="000000"/>
                <w:kern w:val="0"/>
                <w:sz w:val="32"/>
                <w:szCs w:val="32"/>
                <w:lang w:bidi="ar"/>
              </w:rPr>
              <w:t xml:space="preserve"> 部门预算项目支出绩效目标公开表</w:t>
            </w:r>
          </w:p>
        </w:tc>
      </w:tr>
      <w:tr>
        <w:tblPrEx>
          <w:tblCellMar>
            <w:top w:w="0" w:type="dxa"/>
            <w:left w:w="108" w:type="dxa"/>
            <w:bottom w:w="0" w:type="dxa"/>
            <w:right w:w="108" w:type="dxa"/>
          </w:tblCellMar>
        </w:tblPrEx>
        <w:trPr>
          <w:trHeight w:val="280" w:hRule="atLeast"/>
          <w:jc w:val="center"/>
        </w:trPr>
        <w:tc>
          <w:tcPr>
            <w:tcW w:w="3975" w:type="dxa"/>
            <w:gridSpan w:val="3"/>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预算年度：2023</w:t>
            </w:r>
          </w:p>
        </w:tc>
        <w:tc>
          <w:tcPr>
            <w:tcW w:w="97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01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7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38" w:type="dxa"/>
            <w:tcBorders>
              <w:top w:val="nil"/>
              <w:left w:val="nil"/>
              <w:bottom w:val="nil"/>
              <w:right w:val="nil"/>
            </w:tcBorders>
            <w:shd w:val="clear" w:color="auto" w:fill="auto"/>
            <w:vAlign w:val="center"/>
          </w:tcPr>
          <w:p>
            <w:pPr>
              <w:jc w:val="center"/>
              <w:rPr>
                <w:rFonts w:ascii="宋体" w:hAnsi="宋体" w:cs="宋体"/>
                <w:color w:val="000000"/>
                <w:sz w:val="18"/>
                <w:szCs w:val="18"/>
              </w:rPr>
            </w:pPr>
          </w:p>
        </w:tc>
        <w:tc>
          <w:tcPr>
            <w:tcW w:w="1837" w:type="dxa"/>
            <w:gridSpan w:val="2"/>
            <w:tcBorders>
              <w:top w:val="nil"/>
              <w:left w:val="nil"/>
              <w:bottom w:val="nil"/>
              <w:right w:val="nil"/>
            </w:tcBorders>
            <w:shd w:val="clear" w:color="auto" w:fill="auto"/>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金额单位：万元</w:t>
            </w:r>
          </w:p>
        </w:tc>
      </w:tr>
      <w:tr>
        <w:tblPrEx>
          <w:tblCellMar>
            <w:top w:w="0" w:type="dxa"/>
            <w:left w:w="108" w:type="dxa"/>
            <w:bottom w:w="0" w:type="dxa"/>
            <w:right w:w="108" w:type="dxa"/>
          </w:tblCellMar>
        </w:tblPrEx>
        <w:trPr>
          <w:trHeight w:val="280" w:hRule="atLeast"/>
          <w:jc w:val="center"/>
        </w:trPr>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项目名称</w:t>
            </w:r>
          </w:p>
        </w:tc>
        <w:tc>
          <w:tcPr>
            <w:tcW w:w="12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批复数</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绩效目标</w:t>
            </w:r>
          </w:p>
        </w:tc>
        <w:tc>
          <w:tcPr>
            <w:tcW w:w="33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绩效指标</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绩效指标性质</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绩效指标值</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绩效度量单位</w:t>
            </w:r>
          </w:p>
        </w:tc>
      </w:tr>
      <w:tr>
        <w:tblPrEx>
          <w:tblCellMar>
            <w:top w:w="0" w:type="dxa"/>
            <w:left w:w="108" w:type="dxa"/>
            <w:bottom w:w="0" w:type="dxa"/>
            <w:right w:w="108" w:type="dxa"/>
          </w:tblCellMar>
        </w:tblPrEx>
        <w:trPr>
          <w:trHeight w:val="280" w:hRule="atLeast"/>
          <w:jc w:val="center"/>
        </w:trPr>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一级指标</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二级指标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三级指标</w:t>
            </w: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560" w:hRule="atLeast"/>
          <w:jc w:val="center"/>
        </w:trPr>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图书馆文化馆（站）美术馆免费开放资金</w:t>
            </w:r>
          </w:p>
        </w:tc>
        <w:tc>
          <w:tcPr>
            <w:tcW w:w="12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74.30</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　免费开放，让地方文化传承发展。</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产出指标</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数量指标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免费开放质量</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560" w:hRule="atLeast"/>
          <w:jc w:val="center"/>
        </w:trPr>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效益指标</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社会效益指标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服务群体</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840" w:hRule="atLeast"/>
          <w:jc w:val="center"/>
        </w:trPr>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满意度指标</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服务对象满意度指标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两馆服务</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280" w:hRule="atLeast"/>
          <w:jc w:val="center"/>
        </w:trPr>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博物馆纪念馆免费开放资金（含陈列布展）</w:t>
            </w:r>
          </w:p>
        </w:tc>
        <w:tc>
          <w:tcPr>
            <w:tcW w:w="12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47.00</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　免费开放</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产出指标</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数量指标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开放天次</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560" w:hRule="atLeast"/>
          <w:jc w:val="center"/>
        </w:trPr>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效益指标</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社会效益指标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文化宣传</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840" w:hRule="atLeast"/>
          <w:jc w:val="center"/>
        </w:trPr>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满意度指标</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服务对象满意度指标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群众</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280" w:hRule="atLeast"/>
          <w:jc w:val="center"/>
        </w:trPr>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文化人才专项经费</w:t>
            </w:r>
          </w:p>
        </w:tc>
        <w:tc>
          <w:tcPr>
            <w:tcW w:w="12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97.20</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2023年文化人才专项经费</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产出指标</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数量指标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服务次数</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560" w:hRule="atLeast"/>
          <w:jc w:val="center"/>
        </w:trPr>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效益指标</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社会效益指标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服务效果</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840" w:hRule="atLeast"/>
          <w:jc w:val="center"/>
        </w:trPr>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满意度指标</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服务对象满意度指标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群众满意度</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280" w:hRule="atLeast"/>
          <w:jc w:val="center"/>
        </w:trPr>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中央支持地方公共文化服务体系建设（农村文化建设）补助资金</w:t>
            </w:r>
          </w:p>
        </w:tc>
        <w:tc>
          <w:tcPr>
            <w:tcW w:w="12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81.76</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中央支持地方公共文化服务体系（农村文化建设）补助资金</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产出指标</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数量指标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场次</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场次</w:t>
            </w:r>
          </w:p>
        </w:tc>
      </w:tr>
      <w:tr>
        <w:tblPrEx>
          <w:tblCellMar>
            <w:top w:w="0" w:type="dxa"/>
            <w:left w:w="108" w:type="dxa"/>
            <w:bottom w:w="0" w:type="dxa"/>
            <w:right w:w="108" w:type="dxa"/>
          </w:tblCellMar>
        </w:tblPrEx>
        <w:trPr>
          <w:trHeight w:val="560" w:hRule="atLeast"/>
          <w:jc w:val="center"/>
        </w:trPr>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效益指标</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社会效益指标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文艺演出</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840" w:hRule="atLeast"/>
          <w:jc w:val="center"/>
        </w:trPr>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满意度指标</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服务对象满意度指标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群众满意度</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280" w:hRule="atLeast"/>
          <w:jc w:val="center"/>
        </w:trPr>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中央支持地方公共文化服务体系建设(重点项目)补助资金</w:t>
            </w:r>
          </w:p>
        </w:tc>
        <w:tc>
          <w:tcPr>
            <w:tcW w:w="12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74.00</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通过为全省各乡镇配送演出，进一步丰富和活跃基层农牧民的精神文化生活。</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产出指标</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数量指标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演出场次</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2082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场次</w:t>
            </w:r>
          </w:p>
        </w:tc>
      </w:tr>
      <w:tr>
        <w:tblPrEx>
          <w:tblCellMar>
            <w:top w:w="0" w:type="dxa"/>
            <w:left w:w="108" w:type="dxa"/>
            <w:bottom w:w="0" w:type="dxa"/>
            <w:right w:w="108" w:type="dxa"/>
          </w:tblCellMar>
        </w:tblPrEx>
        <w:trPr>
          <w:trHeight w:val="840" w:hRule="atLeast"/>
          <w:jc w:val="center"/>
        </w:trPr>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效益指标</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社会效益指标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丰富基层群众精神文化生活</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840" w:hRule="atLeast"/>
          <w:jc w:val="center"/>
        </w:trPr>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满意度指标</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服务对象满意度指标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群众公共文化服务获得感</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560" w:hRule="atLeast"/>
          <w:jc w:val="center"/>
        </w:trPr>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文化活动及旅游发展经费</w:t>
            </w:r>
          </w:p>
        </w:tc>
        <w:tc>
          <w:tcPr>
            <w:tcW w:w="12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300.00</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举办各类文旅活动及用于文化旅游发展经费。</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产出指标</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数量指标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文化活动次数</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次</w:t>
            </w:r>
          </w:p>
        </w:tc>
      </w:tr>
      <w:tr>
        <w:tblPrEx>
          <w:tblCellMar>
            <w:top w:w="0" w:type="dxa"/>
            <w:left w:w="108" w:type="dxa"/>
            <w:bottom w:w="0" w:type="dxa"/>
            <w:right w:w="108" w:type="dxa"/>
          </w:tblCellMar>
        </w:tblPrEx>
        <w:trPr>
          <w:trHeight w:val="560" w:hRule="atLeast"/>
          <w:jc w:val="center"/>
        </w:trPr>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效益指标</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社会效益指标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社会效益</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840" w:hRule="atLeast"/>
          <w:jc w:val="center"/>
        </w:trPr>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满意度指标</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服务对象满意度指标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群众满意度</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280" w:hRule="atLeast"/>
          <w:jc w:val="center"/>
        </w:trPr>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综合执法经费</w:t>
            </w:r>
          </w:p>
        </w:tc>
        <w:tc>
          <w:tcPr>
            <w:tcW w:w="12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5.00</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文化综合执法</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产出指标</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数量指标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执法次数</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次</w:t>
            </w:r>
          </w:p>
        </w:tc>
      </w:tr>
      <w:tr>
        <w:tblPrEx>
          <w:tblCellMar>
            <w:top w:w="0" w:type="dxa"/>
            <w:left w:w="108" w:type="dxa"/>
            <w:bottom w:w="0" w:type="dxa"/>
            <w:right w:w="108" w:type="dxa"/>
          </w:tblCellMar>
        </w:tblPrEx>
        <w:trPr>
          <w:trHeight w:val="560" w:hRule="atLeast"/>
          <w:jc w:val="center"/>
        </w:trPr>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效益指标</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社会效益指标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文化市场有序程度</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840" w:hRule="atLeast"/>
          <w:jc w:val="center"/>
        </w:trPr>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满意度指标</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服务对象满意度指标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群众满意度</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bl>
    <w:p>
      <w:pPr>
        <w:rPr>
          <w:rFonts w:ascii="小标宋" w:eastAsia="小标宋"/>
          <w:b/>
          <w:color w:val="000000"/>
          <w:sz w:val="36"/>
          <w:szCs w:val="36"/>
        </w:rPr>
      </w:pPr>
      <w:r>
        <w:rPr>
          <w:rFonts w:ascii="小标宋" w:eastAsia="小标宋"/>
          <w:b/>
          <w:color w:val="000000"/>
          <w:sz w:val="36"/>
          <w:szCs w:val="36"/>
        </w:rPr>
        <w:br w:type="page"/>
      </w:r>
    </w:p>
    <w:p>
      <w:pPr>
        <w:adjustRightInd w:val="0"/>
        <w:snapToGrid w:val="0"/>
        <w:spacing w:line="560" w:lineRule="exact"/>
        <w:ind w:firstLine="720" w:firstLineChars="200"/>
        <w:jc w:val="center"/>
        <w:rPr>
          <w:rFonts w:ascii="小标宋" w:eastAsia="小标宋"/>
          <w:b/>
          <w:color w:val="000000"/>
          <w:sz w:val="36"/>
          <w:szCs w:val="36"/>
        </w:rPr>
      </w:pPr>
      <w:r>
        <w:rPr>
          <w:rFonts w:hint="eastAsia" w:ascii="小标宋" w:eastAsia="小标宋"/>
          <w:b/>
          <w:color w:val="000000"/>
          <w:sz w:val="36"/>
          <w:szCs w:val="36"/>
        </w:rPr>
        <w:t>第四部分  名词解释</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一、收入类</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财政拨款收入：</w:t>
      </w:r>
      <w:r>
        <w:rPr>
          <w:rFonts w:ascii="仿宋_GB2312" w:eastAsia="仿宋_GB2312"/>
          <w:sz w:val="32"/>
          <w:szCs w:val="32"/>
        </w:rPr>
        <w:t>指</w:t>
      </w:r>
      <w:r>
        <w:rPr>
          <w:rFonts w:hint="eastAsia" w:ascii="仿宋_GB2312" w:eastAsia="仿宋_GB2312"/>
          <w:sz w:val="32"/>
          <w:szCs w:val="32"/>
        </w:rPr>
        <w:t>本级</w:t>
      </w:r>
      <w:r>
        <w:rPr>
          <w:rFonts w:ascii="仿宋_GB2312" w:eastAsia="仿宋_GB2312"/>
          <w:sz w:val="32"/>
          <w:szCs w:val="32"/>
        </w:rPr>
        <w:t>财政当年拨付的资金</w:t>
      </w:r>
      <w:r>
        <w:rPr>
          <w:rFonts w:hint="eastAsia" w:ascii="仿宋_GB2312" w:eastAsia="仿宋_GB2312"/>
          <w:sz w:val="32"/>
          <w:szCs w:val="32"/>
        </w:rPr>
        <w:t>，包括一般公共预算拨款收入和政府性基金预算拨款收入</w:t>
      </w:r>
      <w:r>
        <w:rPr>
          <w:rFonts w:ascii="仿宋_GB2312" w:eastAsia="仿宋_GB2312"/>
          <w:sz w:val="32"/>
          <w:szCs w:val="32"/>
        </w:rPr>
        <w:t>。</w:t>
      </w:r>
      <w:r>
        <w:rPr>
          <w:rFonts w:hint="eastAsia" w:ascii="仿宋_GB2312" w:eastAsia="仿宋_GB2312"/>
          <w:sz w:val="32"/>
          <w:szCs w:val="32"/>
        </w:rPr>
        <w:t>其中：一般公共预算拨款收入包括财政部门经费拨款、专项收入、行政事业性收费收入、罚没收入、国有资源（资产）有偿使用收入和其他收入。</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（二）</w:t>
      </w:r>
      <w:r>
        <w:rPr>
          <w:rFonts w:ascii="仿宋_GB2312" w:hAnsi="仿宋" w:eastAsia="仿宋_GB2312"/>
          <w:b/>
          <w:spacing w:val="-6"/>
          <w:sz w:val="32"/>
          <w:szCs w:val="32"/>
        </w:rPr>
        <w:t>上年结转和结余：</w:t>
      </w:r>
      <w:r>
        <w:rPr>
          <w:rFonts w:ascii="仿宋_GB2312" w:eastAsia="仿宋_GB2312"/>
          <w:sz w:val="32"/>
          <w:szCs w:val="32"/>
        </w:rPr>
        <w:t>指以前年度支出预算因客观条件变化未执行完毕、结转到本年度按有关规定继续使用的资金，既包括财政拨款结转和结余，也包括事业收入、经营收入、其他收入的结转和结余。</w:t>
      </w:r>
    </w:p>
    <w:p>
      <w:pPr>
        <w:ind w:firstLine="640" w:firstLineChars="200"/>
        <w:rPr>
          <w:rFonts w:ascii="宋体" w:hAnsi="宋体"/>
          <w:b/>
          <w:sz w:val="32"/>
          <w:szCs w:val="32"/>
        </w:rPr>
      </w:pPr>
      <w:r>
        <w:rPr>
          <w:rFonts w:hint="eastAsia" w:ascii="黑体" w:hAnsi="宋体" w:eastAsia="黑体"/>
          <w:color w:val="000000"/>
          <w:sz w:val="32"/>
          <w:szCs w:val="32"/>
        </w:rPr>
        <w:t>二、支出类</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基本支出：</w:t>
      </w:r>
      <w:r>
        <w:rPr>
          <w:rFonts w:ascii="仿宋_GB2312" w:eastAsia="仿宋_GB2312"/>
          <w:sz w:val="32"/>
          <w:szCs w:val="32"/>
        </w:rPr>
        <w:t>指为保障机构正常运转、完成日常工作任务而发生的人员支出和公用支出。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（二）</w:t>
      </w:r>
      <w:r>
        <w:rPr>
          <w:rFonts w:ascii="仿宋_GB2312" w:hAnsi="仿宋" w:eastAsia="仿宋_GB2312"/>
          <w:b/>
          <w:spacing w:val="-6"/>
          <w:sz w:val="32"/>
          <w:szCs w:val="32"/>
        </w:rPr>
        <w:t>项目支出：</w:t>
      </w:r>
      <w:r>
        <w:rPr>
          <w:rFonts w:ascii="仿宋_GB2312" w:eastAsia="仿宋_GB2312"/>
          <w:sz w:val="32"/>
          <w:szCs w:val="32"/>
        </w:rPr>
        <w:t>指在基本支出之外为完成特定行政任务和事业发展目标所发生的支出。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（三）一般公共预算</w:t>
      </w:r>
      <w:r>
        <w:rPr>
          <w:rFonts w:ascii="仿宋_GB2312" w:hAnsi="仿宋" w:eastAsia="仿宋_GB2312"/>
          <w:b/>
          <w:spacing w:val="-6"/>
          <w:sz w:val="32"/>
          <w:szCs w:val="32"/>
        </w:rPr>
        <w:t>“三公”经费支出：</w:t>
      </w:r>
      <w:r>
        <w:rPr>
          <w:rFonts w:ascii="仿宋_GB2312" w:eastAsia="仿宋_GB2312"/>
          <w:sz w:val="32"/>
          <w:szCs w:val="32"/>
        </w:rPr>
        <w:t>指</w:t>
      </w:r>
      <w:r>
        <w:rPr>
          <w:rFonts w:hint="eastAsia" w:ascii="仿宋_GB2312" w:eastAsia="仿宋_GB2312"/>
          <w:sz w:val="32"/>
          <w:szCs w:val="32"/>
        </w:rPr>
        <w:t>一般公共预算</w:t>
      </w:r>
      <w:r>
        <w:rPr>
          <w:rFonts w:ascii="仿宋_GB2312" w:eastAsia="仿宋_GB2312"/>
          <w:sz w:val="32"/>
          <w:szCs w:val="32"/>
        </w:rPr>
        <w:t>安排的因公出国（境）费、公务用车购置及运行费和公务接待费支出。其中，因公出国（境）费是指</w:t>
      </w:r>
      <w:r>
        <w:rPr>
          <w:rFonts w:hint="eastAsia" w:ascii="仿宋_GB2312" w:eastAsia="仿宋_GB2312"/>
          <w:sz w:val="32"/>
          <w:szCs w:val="32"/>
        </w:rPr>
        <w:t>部门</w:t>
      </w:r>
      <w:r>
        <w:rPr>
          <w:rFonts w:ascii="仿宋_GB2312" w:eastAsia="仿宋_GB2312"/>
          <w:sz w:val="32"/>
          <w:szCs w:val="32"/>
        </w:rPr>
        <w:t>工作人员因公务出国（境）的往返机票费、住宿费、伙食费、培训费等支出；公务用车购置及运行费是指</w:t>
      </w:r>
      <w:r>
        <w:rPr>
          <w:rFonts w:hint="eastAsia" w:ascii="仿宋_GB2312" w:eastAsia="仿宋_GB2312"/>
          <w:sz w:val="32"/>
          <w:szCs w:val="32"/>
        </w:rPr>
        <w:t>部门</w:t>
      </w:r>
      <w:r>
        <w:rPr>
          <w:rFonts w:ascii="仿宋_GB2312" w:eastAsia="仿宋_GB2312"/>
          <w:sz w:val="32"/>
          <w:szCs w:val="32"/>
        </w:rPr>
        <w:t>购置公务用车支出及公务用车使用过程中发生的租用费、燃料费、过路过桥费、保险费等支出；公务接待费支出是指</w:t>
      </w:r>
      <w:r>
        <w:rPr>
          <w:rFonts w:hint="eastAsia" w:ascii="仿宋_GB2312" w:eastAsia="仿宋_GB2312"/>
          <w:sz w:val="32"/>
          <w:szCs w:val="32"/>
        </w:rPr>
        <w:t>部门</w:t>
      </w:r>
      <w:r>
        <w:rPr>
          <w:rFonts w:ascii="仿宋_GB2312" w:eastAsia="仿宋_GB2312"/>
          <w:sz w:val="32"/>
          <w:szCs w:val="32"/>
        </w:rPr>
        <w:t>按规定开支的各类公务接待（含外宾接待）支出。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（四）</w:t>
      </w:r>
      <w:r>
        <w:rPr>
          <w:rFonts w:ascii="仿宋_GB2312" w:hAnsi="仿宋" w:eastAsia="仿宋_GB2312"/>
          <w:b/>
          <w:spacing w:val="-6"/>
          <w:sz w:val="32"/>
          <w:szCs w:val="32"/>
        </w:rPr>
        <w:t>机关运行经费：</w:t>
      </w:r>
      <w:r>
        <w:rPr>
          <w:rFonts w:ascii="仿宋_GB2312" w:eastAsia="仿宋_GB2312"/>
          <w:sz w:val="32"/>
          <w:szCs w:val="32"/>
        </w:rPr>
        <w:t>为保障行政</w:t>
      </w:r>
      <w:r>
        <w:rPr>
          <w:rFonts w:hint="eastAsia" w:ascii="仿宋_GB2312" w:eastAsia="仿宋_GB2312"/>
          <w:sz w:val="32"/>
          <w:szCs w:val="32"/>
        </w:rPr>
        <w:t>部门</w:t>
      </w:r>
      <w:r>
        <w:rPr>
          <w:rFonts w:ascii="仿宋_GB2312" w:eastAsia="仿宋_GB2312"/>
          <w:sz w:val="32"/>
          <w:szCs w:val="32"/>
        </w:rPr>
        <w:t>（含参照公务员法管理的事业</w:t>
      </w:r>
      <w:r>
        <w:rPr>
          <w:rFonts w:hint="eastAsia" w:ascii="仿宋_GB2312" w:eastAsia="仿宋_GB2312"/>
          <w:sz w:val="32"/>
          <w:szCs w:val="32"/>
        </w:rPr>
        <w:t>部门</w:t>
      </w:r>
      <w:r>
        <w:rPr>
          <w:rFonts w:ascii="仿宋_GB2312" w:eastAsia="仿宋_GB2312"/>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三、支出科目类</w:t>
      </w:r>
    </w:p>
    <w:p>
      <w:pPr>
        <w:ind w:firstLine="643" w:firstLineChars="200"/>
        <w:rPr>
          <w:rFonts w:ascii="仿宋_GB2312" w:eastAsia="仿宋_GB2312"/>
          <w:sz w:val="32"/>
          <w:szCs w:val="32"/>
        </w:rPr>
      </w:pPr>
      <w:r>
        <w:rPr>
          <w:rFonts w:hint="eastAsia" w:ascii="仿宋_GB2312" w:eastAsia="仿宋_GB2312"/>
          <w:b/>
          <w:bCs/>
          <w:sz w:val="32"/>
          <w:szCs w:val="32"/>
        </w:rPr>
        <w:t>（一）文化旅游体育与传媒支出（类）文化和旅游（款）行政运行（项）：</w:t>
      </w:r>
      <w:r>
        <w:rPr>
          <w:rFonts w:hint="eastAsia" w:ascii="仿宋_GB2312" w:eastAsia="仿宋_GB2312"/>
          <w:sz w:val="32"/>
          <w:szCs w:val="32"/>
        </w:rPr>
        <w:t>反映行政单位（包括实行公务员管理的事业单位）的基本支出。</w:t>
      </w:r>
    </w:p>
    <w:p>
      <w:pPr>
        <w:ind w:firstLine="643" w:firstLineChars="200"/>
      </w:pPr>
      <w:r>
        <w:rPr>
          <w:rFonts w:hint="eastAsia" w:ascii="仿宋_GB2312" w:eastAsia="仿宋_GB2312"/>
          <w:b/>
          <w:bCs/>
          <w:sz w:val="32"/>
          <w:szCs w:val="32"/>
        </w:rPr>
        <w:t>（二）文化旅游体育与传媒支出（类）文化和旅游（款）文化创作与保护（项）：</w:t>
      </w:r>
      <w:r>
        <w:rPr>
          <w:rFonts w:hint="eastAsia" w:ascii="仿宋_GB2312" w:eastAsia="仿宋_GB2312"/>
          <w:sz w:val="32"/>
          <w:szCs w:val="32"/>
        </w:rPr>
        <w:t>反映鼓励文学、艺术创作和优秀传统文化保护方面的支出。</w:t>
      </w:r>
    </w:p>
    <w:p>
      <w:pPr>
        <w:ind w:firstLine="643" w:firstLineChars="200"/>
      </w:pPr>
      <w:r>
        <w:rPr>
          <w:rFonts w:hint="eastAsia" w:ascii="仿宋_GB2312" w:eastAsia="仿宋_GB2312"/>
          <w:b/>
          <w:bCs/>
          <w:sz w:val="32"/>
          <w:szCs w:val="32"/>
        </w:rPr>
        <w:t>（三）文化旅游体育与传媒支出（类）文化和旅游（款）文化和旅游市场管理（项）：</w:t>
      </w:r>
      <w:r>
        <w:rPr>
          <w:rFonts w:hint="eastAsia" w:ascii="仿宋_GB2312" w:eastAsia="仿宋_GB2312"/>
          <w:sz w:val="32"/>
          <w:szCs w:val="32"/>
        </w:rPr>
        <w:t>反映文化和旅游执法检查等文化旅游市场管理方面的支出。</w:t>
      </w:r>
    </w:p>
    <w:p>
      <w:pPr>
        <w:ind w:firstLine="643" w:firstLineChars="200"/>
      </w:pPr>
      <w:r>
        <w:rPr>
          <w:rFonts w:hint="eastAsia" w:ascii="仿宋_GB2312" w:eastAsia="仿宋_GB2312"/>
          <w:b/>
          <w:bCs/>
          <w:sz w:val="32"/>
          <w:szCs w:val="32"/>
        </w:rPr>
        <w:t>（四）文化旅游体育与传媒支出（类）文化和旅游（款）其他文化和旅游支出（项）：</w:t>
      </w:r>
      <w:r>
        <w:rPr>
          <w:rFonts w:hint="eastAsia" w:ascii="仿宋_GB2312" w:eastAsia="仿宋_GB2312"/>
          <w:sz w:val="32"/>
          <w:szCs w:val="32"/>
        </w:rPr>
        <w:t>反映除上述项目以外其他用于文化和旅游方面的支出。</w:t>
      </w:r>
    </w:p>
    <w:p>
      <w:pPr>
        <w:ind w:firstLine="643" w:firstLineChars="200"/>
      </w:pPr>
      <w:r>
        <w:rPr>
          <w:rFonts w:hint="eastAsia" w:ascii="仿宋_GB2312" w:eastAsia="仿宋_GB2312"/>
          <w:b/>
          <w:bCs/>
          <w:sz w:val="32"/>
          <w:szCs w:val="32"/>
        </w:rPr>
        <w:t>（五）文化旅游体育与传媒支出（类）文物（款）博物馆（项）：</w:t>
      </w:r>
      <w:r>
        <w:rPr>
          <w:rFonts w:hint="eastAsia" w:ascii="仿宋_GB2312" w:eastAsia="仿宋_GB2312"/>
          <w:sz w:val="32"/>
          <w:szCs w:val="32"/>
        </w:rPr>
        <w:t>反映文物系统及其他部门所属博物馆、纪念馆（室）的支出。</w:t>
      </w:r>
    </w:p>
    <w:p>
      <w:pPr>
        <w:ind w:firstLine="643" w:firstLineChars="200"/>
      </w:pPr>
      <w:r>
        <w:rPr>
          <w:rFonts w:hint="eastAsia" w:ascii="仿宋_GB2312" w:eastAsia="仿宋_GB2312"/>
          <w:b/>
          <w:bCs/>
          <w:sz w:val="32"/>
          <w:szCs w:val="32"/>
        </w:rPr>
        <w:t>（六）文化旅游体育与传媒支出（类）其他文化旅游体育与传媒支出（款）其他文化旅游体育与传媒支出（项）：</w:t>
      </w:r>
      <w:r>
        <w:rPr>
          <w:rFonts w:hint="eastAsia" w:ascii="仿宋_GB2312" w:eastAsia="仿宋_GB2312"/>
          <w:sz w:val="32"/>
          <w:szCs w:val="32"/>
        </w:rPr>
        <w:t>反映除上述项目以外其他用于文化旅游体育与传媒方面的支出。</w:t>
      </w:r>
    </w:p>
    <w:p>
      <w:pPr>
        <w:ind w:firstLine="643" w:firstLineChars="200"/>
      </w:pPr>
      <w:r>
        <w:rPr>
          <w:rFonts w:hint="eastAsia" w:ascii="仿宋_GB2312" w:eastAsia="仿宋_GB2312"/>
          <w:b/>
          <w:bCs/>
          <w:sz w:val="32"/>
          <w:szCs w:val="32"/>
        </w:rPr>
        <w:t>（七）社会保障和就业支出（类）行政事业单位养老支出（款）机关事业单位基本养老保险缴费支出（项）：</w:t>
      </w:r>
      <w:r>
        <w:rPr>
          <w:rFonts w:hint="eastAsia" w:ascii="仿宋_GB2312" w:eastAsia="仿宋_GB2312"/>
          <w:sz w:val="32"/>
          <w:szCs w:val="32"/>
        </w:rPr>
        <w:t>反映机关事业单位实施养老保险制度由单位缴纳的基本养老保险费支出。</w:t>
      </w:r>
    </w:p>
    <w:p>
      <w:pPr>
        <w:ind w:firstLine="643" w:firstLineChars="200"/>
      </w:pPr>
      <w:r>
        <w:rPr>
          <w:rFonts w:hint="eastAsia" w:ascii="仿宋_GB2312" w:eastAsia="仿宋_GB2312"/>
          <w:b/>
          <w:bCs/>
          <w:sz w:val="32"/>
          <w:szCs w:val="32"/>
        </w:rPr>
        <w:t>（八）社会保障和就业支出（类）行政事业单位养老支出（款）机关事业单位职业年金缴费支出（项）：</w:t>
      </w:r>
      <w:r>
        <w:rPr>
          <w:rFonts w:hint="eastAsia" w:ascii="仿宋_GB2312" w:eastAsia="仿宋_GB2312"/>
          <w:sz w:val="32"/>
          <w:szCs w:val="32"/>
        </w:rPr>
        <w:t>反映机关事业单位实施养老保险制度由单位实际缴纳的职业年金支出。</w:t>
      </w:r>
    </w:p>
    <w:p>
      <w:pPr>
        <w:ind w:firstLine="643" w:firstLineChars="200"/>
      </w:pPr>
      <w:r>
        <w:rPr>
          <w:rFonts w:hint="eastAsia" w:ascii="仿宋_GB2312" w:eastAsia="仿宋_GB2312"/>
          <w:b/>
          <w:bCs/>
          <w:sz w:val="32"/>
          <w:szCs w:val="32"/>
        </w:rPr>
        <w:t>（九）社会保障和就业支出（类）行政事业单位养老支出（款）其他行政事业单位养老支出（项）：</w:t>
      </w:r>
      <w:r>
        <w:rPr>
          <w:rFonts w:hint="eastAsia" w:ascii="仿宋_GB2312" w:eastAsia="仿宋_GB2312"/>
          <w:sz w:val="32"/>
          <w:szCs w:val="32"/>
        </w:rPr>
        <w:t>反映除上述项目以外其他用于行政事业单位养老方面的支出。</w:t>
      </w:r>
    </w:p>
    <w:p>
      <w:pPr>
        <w:ind w:firstLine="643" w:firstLineChars="200"/>
      </w:pPr>
      <w:r>
        <w:rPr>
          <w:rFonts w:hint="eastAsia" w:ascii="仿宋_GB2312" w:eastAsia="仿宋_GB2312"/>
          <w:b/>
          <w:bCs/>
          <w:sz w:val="32"/>
          <w:szCs w:val="32"/>
        </w:rPr>
        <w:t>（十）社会保障和就业支出（类）其他社会保障和就业支出（款）其他社会保障和就业支出（项）：</w:t>
      </w:r>
      <w:r>
        <w:rPr>
          <w:rFonts w:hint="eastAsia" w:ascii="仿宋_GB2312" w:eastAsia="仿宋_GB2312"/>
          <w:sz w:val="32"/>
          <w:szCs w:val="32"/>
        </w:rPr>
        <w:t>反映除上述项目以外其他用于社会保障和就业方面的支出。</w:t>
      </w:r>
    </w:p>
    <w:p>
      <w:pPr>
        <w:ind w:firstLine="643" w:firstLineChars="200"/>
      </w:pPr>
      <w:r>
        <w:rPr>
          <w:rFonts w:hint="eastAsia" w:ascii="仿宋_GB2312" w:eastAsia="仿宋_GB2312"/>
          <w:b/>
          <w:bCs/>
          <w:sz w:val="32"/>
          <w:szCs w:val="32"/>
        </w:rPr>
        <w:t>（十一）卫生健康支出（类）行政事业单位医疗（款）行政单位医疗（项）：</w:t>
      </w:r>
      <w:r>
        <w:rPr>
          <w:rFonts w:hint="eastAsia" w:ascii="仿宋_GB2312" w:eastAsia="仿宋_GB2312"/>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pPr>
        <w:ind w:firstLine="643" w:firstLineChars="200"/>
        <w:rPr>
          <w:rFonts w:ascii="仿宋_GB2312" w:eastAsia="仿宋_GB2312"/>
          <w:sz w:val="32"/>
          <w:szCs w:val="32"/>
        </w:rPr>
      </w:pPr>
      <w:r>
        <w:rPr>
          <w:rFonts w:hint="eastAsia" w:ascii="仿宋_GB2312" w:eastAsia="仿宋_GB2312"/>
          <w:b/>
          <w:bCs/>
          <w:sz w:val="32"/>
          <w:szCs w:val="32"/>
        </w:rPr>
        <w:t>（十二）卫生健康支出（类）行政事业单位医疗（款）事业单位医疗（项）：</w:t>
      </w:r>
      <w:r>
        <w:rPr>
          <w:rFonts w:hint="eastAsia" w:ascii="仿宋_GB2312" w:eastAsia="仿宋_GB2312"/>
          <w:sz w:val="32"/>
          <w:szCs w:val="32"/>
        </w:rPr>
        <w:t>反映财政部门安排的事业单位基本医疗保险缴费经费，未参加医疗保险的事业单位的公费医疗经费，按国家规定享受离休人员待遇的医疗经费。</w:t>
      </w:r>
    </w:p>
    <w:p>
      <w:pPr>
        <w:ind w:firstLine="643" w:firstLineChars="200"/>
      </w:pPr>
      <w:r>
        <w:rPr>
          <w:rFonts w:hint="eastAsia" w:ascii="仿宋_GB2312" w:eastAsia="仿宋_GB2312"/>
          <w:b/>
          <w:bCs/>
          <w:sz w:val="32"/>
          <w:szCs w:val="32"/>
        </w:rPr>
        <w:t>（十三）卫生健康支出（类）行政事业单位医疗（款）公务员医疗补助（项）：</w:t>
      </w:r>
      <w:r>
        <w:rPr>
          <w:rFonts w:hint="eastAsia" w:ascii="仿宋_GB2312" w:eastAsia="仿宋_GB2312"/>
          <w:sz w:val="32"/>
          <w:szCs w:val="32"/>
        </w:rPr>
        <w:t>反映财政部门安排的公务员医疗补助经费。</w:t>
      </w:r>
    </w:p>
    <w:p>
      <w:pPr>
        <w:ind w:firstLine="643" w:firstLineChars="200"/>
        <w:rPr>
          <w:rFonts w:ascii="仿宋_GB2312" w:hAnsi="仿宋" w:eastAsia="仿宋_GB2312"/>
          <w:b/>
          <w:spacing w:val="-6"/>
          <w:sz w:val="32"/>
          <w:szCs w:val="32"/>
        </w:rPr>
      </w:pPr>
      <w:r>
        <w:rPr>
          <w:rFonts w:hint="eastAsia" w:ascii="仿宋_GB2312" w:eastAsia="仿宋_GB2312"/>
          <w:b/>
          <w:bCs/>
          <w:sz w:val="32"/>
          <w:szCs w:val="32"/>
        </w:rPr>
        <w:t>（十四）住房保障支出（类）住房改革支出（款）住房公积金（项）：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pPr>
        <w:ind w:firstLine="640" w:firstLineChars="200"/>
        <w:rPr>
          <w:rFonts w:ascii="黑体" w:hAnsi="黑体" w:eastAsia="黑体"/>
          <w:sz w:val="32"/>
          <w:szCs w:val="32"/>
        </w:rPr>
      </w:pPr>
      <w:r>
        <w:rPr>
          <w:rFonts w:hint="eastAsia" w:ascii="黑体" w:hAnsi="黑体" w:eastAsia="黑体"/>
          <w:sz w:val="32"/>
          <w:szCs w:val="32"/>
        </w:rPr>
        <w:t>四、部门专业类名词</w:t>
      </w:r>
    </w:p>
    <w:p>
      <w:pPr>
        <w:adjustRightInd w:val="0"/>
        <w:snapToGrid w:val="0"/>
        <w:spacing w:line="560" w:lineRule="exact"/>
        <w:ind w:firstLine="640" w:firstLineChars="200"/>
      </w:pPr>
      <w:r>
        <w:rPr>
          <w:rFonts w:hint="eastAsia" w:ascii="仿宋_GB2312" w:eastAsia="仿宋_GB2312"/>
          <w:sz w:val="32"/>
          <w:szCs w:val="32"/>
        </w:rPr>
        <w:t>无。</w:t>
      </w:r>
    </w:p>
    <w:sectPr>
      <w:headerReference r:id="rId3" w:type="default"/>
      <w:footerReference r:id="rId4" w:type="default"/>
      <w:footerReference r:id="rId5" w:type="even"/>
      <w:pgSz w:w="11906" w:h="16838"/>
      <w:pgMar w:top="1440" w:right="1531" w:bottom="1440" w:left="153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华文琥珀">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15</w:t>
    </w:r>
    <w:r>
      <w:rPr>
        <w:rStyle w:val="7"/>
      </w:rPr>
      <w:fldChar w:fldCharType="end"/>
    </w:r>
  </w:p>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mMWZlNGVmMGI2N2NhZGZkNTA3MmM3YzBmNTYyOTMifQ=="/>
  </w:docVars>
  <w:rsids>
    <w:rsidRoot w:val="00172A27"/>
    <w:rsid w:val="0000475B"/>
    <w:rsid w:val="00007CBD"/>
    <w:rsid w:val="0001178F"/>
    <w:rsid w:val="00020FDD"/>
    <w:rsid w:val="000232E4"/>
    <w:rsid w:val="00034A5C"/>
    <w:rsid w:val="00050279"/>
    <w:rsid w:val="000531EE"/>
    <w:rsid w:val="00056B6D"/>
    <w:rsid w:val="000601C6"/>
    <w:rsid w:val="00060660"/>
    <w:rsid w:val="000678B4"/>
    <w:rsid w:val="00075346"/>
    <w:rsid w:val="00075ED2"/>
    <w:rsid w:val="000862D0"/>
    <w:rsid w:val="000903B1"/>
    <w:rsid w:val="00091929"/>
    <w:rsid w:val="000958EF"/>
    <w:rsid w:val="000A6FB4"/>
    <w:rsid w:val="000B15EB"/>
    <w:rsid w:val="000B287A"/>
    <w:rsid w:val="000B3761"/>
    <w:rsid w:val="000B4E89"/>
    <w:rsid w:val="000D4EDA"/>
    <w:rsid w:val="000F4A3B"/>
    <w:rsid w:val="000F5134"/>
    <w:rsid w:val="000F7828"/>
    <w:rsid w:val="001003D0"/>
    <w:rsid w:val="00112781"/>
    <w:rsid w:val="00113D0A"/>
    <w:rsid w:val="00125BF5"/>
    <w:rsid w:val="00132BE0"/>
    <w:rsid w:val="00144223"/>
    <w:rsid w:val="00144744"/>
    <w:rsid w:val="00146FBE"/>
    <w:rsid w:val="00151EBE"/>
    <w:rsid w:val="001641F0"/>
    <w:rsid w:val="00172A27"/>
    <w:rsid w:val="00177230"/>
    <w:rsid w:val="00180105"/>
    <w:rsid w:val="0018451E"/>
    <w:rsid w:val="00186851"/>
    <w:rsid w:val="0018696D"/>
    <w:rsid w:val="00186DAC"/>
    <w:rsid w:val="00191C8F"/>
    <w:rsid w:val="00193483"/>
    <w:rsid w:val="0019620F"/>
    <w:rsid w:val="001B37BE"/>
    <w:rsid w:val="001B4A45"/>
    <w:rsid w:val="001C6722"/>
    <w:rsid w:val="001C7303"/>
    <w:rsid w:val="001C73F8"/>
    <w:rsid w:val="001D6D61"/>
    <w:rsid w:val="001E2E28"/>
    <w:rsid w:val="001E773E"/>
    <w:rsid w:val="001F5F87"/>
    <w:rsid w:val="00200E48"/>
    <w:rsid w:val="00201E43"/>
    <w:rsid w:val="0020515A"/>
    <w:rsid w:val="002058D7"/>
    <w:rsid w:val="00207A54"/>
    <w:rsid w:val="00213807"/>
    <w:rsid w:val="00214FF3"/>
    <w:rsid w:val="0021568D"/>
    <w:rsid w:val="002263BA"/>
    <w:rsid w:val="00230190"/>
    <w:rsid w:val="00234669"/>
    <w:rsid w:val="00254769"/>
    <w:rsid w:val="0026597C"/>
    <w:rsid w:val="00277A73"/>
    <w:rsid w:val="00293C3F"/>
    <w:rsid w:val="002958B2"/>
    <w:rsid w:val="002B0F3C"/>
    <w:rsid w:val="002B31B7"/>
    <w:rsid w:val="002B6859"/>
    <w:rsid w:val="002C3975"/>
    <w:rsid w:val="002D04E5"/>
    <w:rsid w:val="002D0C16"/>
    <w:rsid w:val="002E16BA"/>
    <w:rsid w:val="002E6F7E"/>
    <w:rsid w:val="002E7771"/>
    <w:rsid w:val="00305E36"/>
    <w:rsid w:val="00314180"/>
    <w:rsid w:val="00316542"/>
    <w:rsid w:val="00322615"/>
    <w:rsid w:val="00325F0E"/>
    <w:rsid w:val="00330E25"/>
    <w:rsid w:val="00332400"/>
    <w:rsid w:val="0033400D"/>
    <w:rsid w:val="00334D68"/>
    <w:rsid w:val="0033793A"/>
    <w:rsid w:val="003521E5"/>
    <w:rsid w:val="00355008"/>
    <w:rsid w:val="00356191"/>
    <w:rsid w:val="00356B67"/>
    <w:rsid w:val="003675C2"/>
    <w:rsid w:val="00371966"/>
    <w:rsid w:val="003769CA"/>
    <w:rsid w:val="00376E07"/>
    <w:rsid w:val="003775AF"/>
    <w:rsid w:val="00380BE9"/>
    <w:rsid w:val="00392EC4"/>
    <w:rsid w:val="0039578D"/>
    <w:rsid w:val="003A342A"/>
    <w:rsid w:val="003A5B8D"/>
    <w:rsid w:val="003B6430"/>
    <w:rsid w:val="003C2061"/>
    <w:rsid w:val="003C228E"/>
    <w:rsid w:val="003C57D4"/>
    <w:rsid w:val="003E28DB"/>
    <w:rsid w:val="003E4830"/>
    <w:rsid w:val="004026AE"/>
    <w:rsid w:val="004041E1"/>
    <w:rsid w:val="00404221"/>
    <w:rsid w:val="00404CA1"/>
    <w:rsid w:val="00416149"/>
    <w:rsid w:val="00420E16"/>
    <w:rsid w:val="004274AA"/>
    <w:rsid w:val="004334EF"/>
    <w:rsid w:val="00434B50"/>
    <w:rsid w:val="00436A54"/>
    <w:rsid w:val="0044139F"/>
    <w:rsid w:val="00442BEB"/>
    <w:rsid w:val="0045037A"/>
    <w:rsid w:val="004611B8"/>
    <w:rsid w:val="00463BD1"/>
    <w:rsid w:val="00464A6E"/>
    <w:rsid w:val="004752F3"/>
    <w:rsid w:val="00475E3F"/>
    <w:rsid w:val="0047768B"/>
    <w:rsid w:val="004918ED"/>
    <w:rsid w:val="00493203"/>
    <w:rsid w:val="0049653A"/>
    <w:rsid w:val="0049694C"/>
    <w:rsid w:val="004A0F66"/>
    <w:rsid w:val="004B0FA1"/>
    <w:rsid w:val="004B146E"/>
    <w:rsid w:val="004C009B"/>
    <w:rsid w:val="004C08A2"/>
    <w:rsid w:val="004C43CC"/>
    <w:rsid w:val="004C7D6C"/>
    <w:rsid w:val="004D5ECB"/>
    <w:rsid w:val="004E1B91"/>
    <w:rsid w:val="004E2DDF"/>
    <w:rsid w:val="004E6982"/>
    <w:rsid w:val="004F03A5"/>
    <w:rsid w:val="004F2AFD"/>
    <w:rsid w:val="004F3B4F"/>
    <w:rsid w:val="004F3DD4"/>
    <w:rsid w:val="004F66D6"/>
    <w:rsid w:val="00503BAF"/>
    <w:rsid w:val="00503FEB"/>
    <w:rsid w:val="00513B9A"/>
    <w:rsid w:val="00517C9B"/>
    <w:rsid w:val="00517FDA"/>
    <w:rsid w:val="00525B6F"/>
    <w:rsid w:val="00527AA4"/>
    <w:rsid w:val="00530799"/>
    <w:rsid w:val="005342B6"/>
    <w:rsid w:val="00536678"/>
    <w:rsid w:val="00537A9E"/>
    <w:rsid w:val="00547194"/>
    <w:rsid w:val="00550008"/>
    <w:rsid w:val="005509A1"/>
    <w:rsid w:val="00562862"/>
    <w:rsid w:val="0057108E"/>
    <w:rsid w:val="00572779"/>
    <w:rsid w:val="0057653F"/>
    <w:rsid w:val="005A11E9"/>
    <w:rsid w:val="005A2203"/>
    <w:rsid w:val="005A4049"/>
    <w:rsid w:val="005A68F5"/>
    <w:rsid w:val="005B074E"/>
    <w:rsid w:val="005B0FB2"/>
    <w:rsid w:val="005B61F4"/>
    <w:rsid w:val="005B76EF"/>
    <w:rsid w:val="005C1EF4"/>
    <w:rsid w:val="005C559B"/>
    <w:rsid w:val="005D12B7"/>
    <w:rsid w:val="005D2972"/>
    <w:rsid w:val="005D7108"/>
    <w:rsid w:val="005E2A77"/>
    <w:rsid w:val="005E3778"/>
    <w:rsid w:val="005E56A1"/>
    <w:rsid w:val="005E6F27"/>
    <w:rsid w:val="005F0856"/>
    <w:rsid w:val="005F16C3"/>
    <w:rsid w:val="005F7090"/>
    <w:rsid w:val="0060661E"/>
    <w:rsid w:val="00614475"/>
    <w:rsid w:val="00615AA9"/>
    <w:rsid w:val="0062091A"/>
    <w:rsid w:val="00630E3B"/>
    <w:rsid w:val="006312D0"/>
    <w:rsid w:val="00633ED4"/>
    <w:rsid w:val="00634957"/>
    <w:rsid w:val="00646177"/>
    <w:rsid w:val="006463AE"/>
    <w:rsid w:val="00653101"/>
    <w:rsid w:val="006556AA"/>
    <w:rsid w:val="00655C5A"/>
    <w:rsid w:val="00656706"/>
    <w:rsid w:val="00667E1C"/>
    <w:rsid w:val="00675319"/>
    <w:rsid w:val="0067605E"/>
    <w:rsid w:val="00677281"/>
    <w:rsid w:val="006814D8"/>
    <w:rsid w:val="00684CA7"/>
    <w:rsid w:val="006A11DF"/>
    <w:rsid w:val="006A355C"/>
    <w:rsid w:val="006B0FE3"/>
    <w:rsid w:val="006B1D44"/>
    <w:rsid w:val="006B1E98"/>
    <w:rsid w:val="006C0202"/>
    <w:rsid w:val="006C055C"/>
    <w:rsid w:val="006C24ED"/>
    <w:rsid w:val="006D7491"/>
    <w:rsid w:val="006E11D1"/>
    <w:rsid w:val="006E50DE"/>
    <w:rsid w:val="006E56EB"/>
    <w:rsid w:val="006F05C4"/>
    <w:rsid w:val="006F16EF"/>
    <w:rsid w:val="006F1867"/>
    <w:rsid w:val="006F1C6F"/>
    <w:rsid w:val="00701E77"/>
    <w:rsid w:val="007145EF"/>
    <w:rsid w:val="007148D1"/>
    <w:rsid w:val="007167D3"/>
    <w:rsid w:val="007211C6"/>
    <w:rsid w:val="00726882"/>
    <w:rsid w:val="0073408A"/>
    <w:rsid w:val="00736E69"/>
    <w:rsid w:val="00736F56"/>
    <w:rsid w:val="007611BA"/>
    <w:rsid w:val="0076222D"/>
    <w:rsid w:val="007655FE"/>
    <w:rsid w:val="007665F3"/>
    <w:rsid w:val="0077254F"/>
    <w:rsid w:val="007773DC"/>
    <w:rsid w:val="00790876"/>
    <w:rsid w:val="00791F22"/>
    <w:rsid w:val="007A792D"/>
    <w:rsid w:val="007B24DE"/>
    <w:rsid w:val="007B4ABF"/>
    <w:rsid w:val="007B7DEA"/>
    <w:rsid w:val="007C5144"/>
    <w:rsid w:val="007C690E"/>
    <w:rsid w:val="007C7455"/>
    <w:rsid w:val="007D0A0B"/>
    <w:rsid w:val="007E4D7A"/>
    <w:rsid w:val="007F2368"/>
    <w:rsid w:val="008121FA"/>
    <w:rsid w:val="00815231"/>
    <w:rsid w:val="00816CE6"/>
    <w:rsid w:val="0082187F"/>
    <w:rsid w:val="00825933"/>
    <w:rsid w:val="00826610"/>
    <w:rsid w:val="0083118F"/>
    <w:rsid w:val="00832434"/>
    <w:rsid w:val="00837FDC"/>
    <w:rsid w:val="00841C54"/>
    <w:rsid w:val="00842500"/>
    <w:rsid w:val="0084534E"/>
    <w:rsid w:val="0084546C"/>
    <w:rsid w:val="00845E67"/>
    <w:rsid w:val="00845E93"/>
    <w:rsid w:val="00846EB8"/>
    <w:rsid w:val="00852F59"/>
    <w:rsid w:val="00853DA0"/>
    <w:rsid w:val="008547E3"/>
    <w:rsid w:val="008662F1"/>
    <w:rsid w:val="00873236"/>
    <w:rsid w:val="00882036"/>
    <w:rsid w:val="00887592"/>
    <w:rsid w:val="00887EBE"/>
    <w:rsid w:val="008953DA"/>
    <w:rsid w:val="00895C88"/>
    <w:rsid w:val="008A467A"/>
    <w:rsid w:val="008A58CB"/>
    <w:rsid w:val="008B1F03"/>
    <w:rsid w:val="008D448E"/>
    <w:rsid w:val="008D7BD7"/>
    <w:rsid w:val="008E37D9"/>
    <w:rsid w:val="008E45E2"/>
    <w:rsid w:val="008F3EDB"/>
    <w:rsid w:val="008F672F"/>
    <w:rsid w:val="0091709E"/>
    <w:rsid w:val="009231FA"/>
    <w:rsid w:val="00960878"/>
    <w:rsid w:val="00965E5A"/>
    <w:rsid w:val="009672B9"/>
    <w:rsid w:val="00973495"/>
    <w:rsid w:val="009744F8"/>
    <w:rsid w:val="00976F94"/>
    <w:rsid w:val="00984314"/>
    <w:rsid w:val="0099261D"/>
    <w:rsid w:val="00995CF0"/>
    <w:rsid w:val="009A1C65"/>
    <w:rsid w:val="009A378F"/>
    <w:rsid w:val="009A3BF7"/>
    <w:rsid w:val="009A58C4"/>
    <w:rsid w:val="009B0B9C"/>
    <w:rsid w:val="009B48F9"/>
    <w:rsid w:val="009C3079"/>
    <w:rsid w:val="009D4037"/>
    <w:rsid w:val="009D43CC"/>
    <w:rsid w:val="009E1CDE"/>
    <w:rsid w:val="00A04DA6"/>
    <w:rsid w:val="00A066FE"/>
    <w:rsid w:val="00A1550A"/>
    <w:rsid w:val="00A158CA"/>
    <w:rsid w:val="00A21B40"/>
    <w:rsid w:val="00A27447"/>
    <w:rsid w:val="00A311A6"/>
    <w:rsid w:val="00A364B9"/>
    <w:rsid w:val="00A450BF"/>
    <w:rsid w:val="00A63467"/>
    <w:rsid w:val="00A641F5"/>
    <w:rsid w:val="00A67367"/>
    <w:rsid w:val="00A73FE8"/>
    <w:rsid w:val="00A77B20"/>
    <w:rsid w:val="00A8045D"/>
    <w:rsid w:val="00A82926"/>
    <w:rsid w:val="00A87B44"/>
    <w:rsid w:val="00A9549F"/>
    <w:rsid w:val="00A97708"/>
    <w:rsid w:val="00AA4928"/>
    <w:rsid w:val="00AA5507"/>
    <w:rsid w:val="00AA7A03"/>
    <w:rsid w:val="00AB7F89"/>
    <w:rsid w:val="00AC2A6A"/>
    <w:rsid w:val="00AF4763"/>
    <w:rsid w:val="00AF557A"/>
    <w:rsid w:val="00AF6FD5"/>
    <w:rsid w:val="00B134C1"/>
    <w:rsid w:val="00B23E9E"/>
    <w:rsid w:val="00B300D9"/>
    <w:rsid w:val="00B33B3C"/>
    <w:rsid w:val="00B40962"/>
    <w:rsid w:val="00B537DA"/>
    <w:rsid w:val="00B62CC7"/>
    <w:rsid w:val="00B6771D"/>
    <w:rsid w:val="00B741D4"/>
    <w:rsid w:val="00B91070"/>
    <w:rsid w:val="00B95D32"/>
    <w:rsid w:val="00BA0232"/>
    <w:rsid w:val="00BA5A93"/>
    <w:rsid w:val="00BA68DC"/>
    <w:rsid w:val="00BB4FF9"/>
    <w:rsid w:val="00BB5101"/>
    <w:rsid w:val="00BB7C31"/>
    <w:rsid w:val="00BD136D"/>
    <w:rsid w:val="00BD2217"/>
    <w:rsid w:val="00BD413D"/>
    <w:rsid w:val="00BE021C"/>
    <w:rsid w:val="00BE2E74"/>
    <w:rsid w:val="00BE484D"/>
    <w:rsid w:val="00BE487B"/>
    <w:rsid w:val="00BF1555"/>
    <w:rsid w:val="00BF490E"/>
    <w:rsid w:val="00C003E4"/>
    <w:rsid w:val="00C01E9E"/>
    <w:rsid w:val="00C108B9"/>
    <w:rsid w:val="00C20681"/>
    <w:rsid w:val="00C27396"/>
    <w:rsid w:val="00C40C54"/>
    <w:rsid w:val="00C41441"/>
    <w:rsid w:val="00C45FA4"/>
    <w:rsid w:val="00C4784F"/>
    <w:rsid w:val="00C63D0A"/>
    <w:rsid w:val="00C677B9"/>
    <w:rsid w:val="00C73288"/>
    <w:rsid w:val="00C747EB"/>
    <w:rsid w:val="00C7794A"/>
    <w:rsid w:val="00C8430A"/>
    <w:rsid w:val="00C902BE"/>
    <w:rsid w:val="00C902D0"/>
    <w:rsid w:val="00C97EB7"/>
    <w:rsid w:val="00CA76DF"/>
    <w:rsid w:val="00CB0C4F"/>
    <w:rsid w:val="00CB147C"/>
    <w:rsid w:val="00CB15F7"/>
    <w:rsid w:val="00CB4B9E"/>
    <w:rsid w:val="00CD2E64"/>
    <w:rsid w:val="00CD2EC8"/>
    <w:rsid w:val="00CD618E"/>
    <w:rsid w:val="00CE5CA7"/>
    <w:rsid w:val="00CE7C0B"/>
    <w:rsid w:val="00CF5B34"/>
    <w:rsid w:val="00CF7C55"/>
    <w:rsid w:val="00D04E62"/>
    <w:rsid w:val="00D07693"/>
    <w:rsid w:val="00D1473B"/>
    <w:rsid w:val="00D15776"/>
    <w:rsid w:val="00D161D6"/>
    <w:rsid w:val="00D22E19"/>
    <w:rsid w:val="00D25D6A"/>
    <w:rsid w:val="00D31757"/>
    <w:rsid w:val="00D34D5B"/>
    <w:rsid w:val="00D50B54"/>
    <w:rsid w:val="00D50CD1"/>
    <w:rsid w:val="00D52327"/>
    <w:rsid w:val="00D6057F"/>
    <w:rsid w:val="00D661E2"/>
    <w:rsid w:val="00D733F5"/>
    <w:rsid w:val="00D77042"/>
    <w:rsid w:val="00D835F3"/>
    <w:rsid w:val="00D83634"/>
    <w:rsid w:val="00D9095F"/>
    <w:rsid w:val="00D91B06"/>
    <w:rsid w:val="00D959F2"/>
    <w:rsid w:val="00D97379"/>
    <w:rsid w:val="00DA5DD9"/>
    <w:rsid w:val="00DD6C5E"/>
    <w:rsid w:val="00DE211D"/>
    <w:rsid w:val="00DE6A70"/>
    <w:rsid w:val="00DF3767"/>
    <w:rsid w:val="00DF6067"/>
    <w:rsid w:val="00E01F58"/>
    <w:rsid w:val="00E06DE1"/>
    <w:rsid w:val="00E14CE9"/>
    <w:rsid w:val="00E20606"/>
    <w:rsid w:val="00E23362"/>
    <w:rsid w:val="00E26500"/>
    <w:rsid w:val="00E36568"/>
    <w:rsid w:val="00E4076A"/>
    <w:rsid w:val="00E43968"/>
    <w:rsid w:val="00E50770"/>
    <w:rsid w:val="00E50E50"/>
    <w:rsid w:val="00E532A9"/>
    <w:rsid w:val="00E629B5"/>
    <w:rsid w:val="00E62BB2"/>
    <w:rsid w:val="00E6361C"/>
    <w:rsid w:val="00E65D63"/>
    <w:rsid w:val="00E66709"/>
    <w:rsid w:val="00E73129"/>
    <w:rsid w:val="00E77312"/>
    <w:rsid w:val="00E80B18"/>
    <w:rsid w:val="00E812D1"/>
    <w:rsid w:val="00E8331F"/>
    <w:rsid w:val="00E9134E"/>
    <w:rsid w:val="00EA16D8"/>
    <w:rsid w:val="00EA1CBE"/>
    <w:rsid w:val="00EA23FA"/>
    <w:rsid w:val="00EA4084"/>
    <w:rsid w:val="00EA7621"/>
    <w:rsid w:val="00EB57B8"/>
    <w:rsid w:val="00EB791F"/>
    <w:rsid w:val="00EB7FA0"/>
    <w:rsid w:val="00ED5B0F"/>
    <w:rsid w:val="00EE73D4"/>
    <w:rsid w:val="00EF04D0"/>
    <w:rsid w:val="00EF1BD9"/>
    <w:rsid w:val="00EF3D27"/>
    <w:rsid w:val="00EF4B98"/>
    <w:rsid w:val="00F02DC6"/>
    <w:rsid w:val="00F07AA5"/>
    <w:rsid w:val="00F07F8F"/>
    <w:rsid w:val="00F11C0E"/>
    <w:rsid w:val="00F16635"/>
    <w:rsid w:val="00F17BBD"/>
    <w:rsid w:val="00F2177F"/>
    <w:rsid w:val="00F25E2D"/>
    <w:rsid w:val="00F3746A"/>
    <w:rsid w:val="00F44808"/>
    <w:rsid w:val="00F46763"/>
    <w:rsid w:val="00F46AF7"/>
    <w:rsid w:val="00F52EE2"/>
    <w:rsid w:val="00F54ADE"/>
    <w:rsid w:val="00F56A95"/>
    <w:rsid w:val="00F64B26"/>
    <w:rsid w:val="00F76BED"/>
    <w:rsid w:val="00F87845"/>
    <w:rsid w:val="00F9174E"/>
    <w:rsid w:val="00FA3291"/>
    <w:rsid w:val="00FA4110"/>
    <w:rsid w:val="00FA6800"/>
    <w:rsid w:val="00FA6DC5"/>
    <w:rsid w:val="00FA7B94"/>
    <w:rsid w:val="00FB31B3"/>
    <w:rsid w:val="00FB3587"/>
    <w:rsid w:val="00FB7581"/>
    <w:rsid w:val="00FD1EAD"/>
    <w:rsid w:val="00FD29F3"/>
    <w:rsid w:val="00FE419E"/>
    <w:rsid w:val="00FF2014"/>
    <w:rsid w:val="00FF6DA0"/>
    <w:rsid w:val="00FF75F4"/>
    <w:rsid w:val="012A1FD4"/>
    <w:rsid w:val="01362E30"/>
    <w:rsid w:val="017D4F5C"/>
    <w:rsid w:val="018D0F17"/>
    <w:rsid w:val="019B2BEF"/>
    <w:rsid w:val="019B53E2"/>
    <w:rsid w:val="01DA23AF"/>
    <w:rsid w:val="02021905"/>
    <w:rsid w:val="026C5C30"/>
    <w:rsid w:val="02AE7397"/>
    <w:rsid w:val="03174F3D"/>
    <w:rsid w:val="033D21D3"/>
    <w:rsid w:val="033F3750"/>
    <w:rsid w:val="03561F09"/>
    <w:rsid w:val="03596737"/>
    <w:rsid w:val="039D18E6"/>
    <w:rsid w:val="03BA365B"/>
    <w:rsid w:val="03BB1D6C"/>
    <w:rsid w:val="03F67248"/>
    <w:rsid w:val="04024FAD"/>
    <w:rsid w:val="041D688F"/>
    <w:rsid w:val="0430275A"/>
    <w:rsid w:val="043C2D23"/>
    <w:rsid w:val="044E0E32"/>
    <w:rsid w:val="04812FB5"/>
    <w:rsid w:val="0486237A"/>
    <w:rsid w:val="048E7480"/>
    <w:rsid w:val="04920E1D"/>
    <w:rsid w:val="04BD38C2"/>
    <w:rsid w:val="04DD4B94"/>
    <w:rsid w:val="04DF7CDC"/>
    <w:rsid w:val="051200B1"/>
    <w:rsid w:val="051931EE"/>
    <w:rsid w:val="05222FB6"/>
    <w:rsid w:val="052A53FB"/>
    <w:rsid w:val="053E0EA6"/>
    <w:rsid w:val="055C132D"/>
    <w:rsid w:val="056F1060"/>
    <w:rsid w:val="0571302A"/>
    <w:rsid w:val="05740424"/>
    <w:rsid w:val="059C06AB"/>
    <w:rsid w:val="05A341D2"/>
    <w:rsid w:val="05C018BB"/>
    <w:rsid w:val="05C220DB"/>
    <w:rsid w:val="05C263D6"/>
    <w:rsid w:val="05CC0260"/>
    <w:rsid w:val="05E01F5E"/>
    <w:rsid w:val="05F81055"/>
    <w:rsid w:val="0612484F"/>
    <w:rsid w:val="06135E8F"/>
    <w:rsid w:val="061A5470"/>
    <w:rsid w:val="062956B3"/>
    <w:rsid w:val="064A5629"/>
    <w:rsid w:val="069A0522"/>
    <w:rsid w:val="06DB44D3"/>
    <w:rsid w:val="06E710CA"/>
    <w:rsid w:val="06EE3BED"/>
    <w:rsid w:val="06FC2DC7"/>
    <w:rsid w:val="07170AD3"/>
    <w:rsid w:val="073360BD"/>
    <w:rsid w:val="073C1416"/>
    <w:rsid w:val="07550B8D"/>
    <w:rsid w:val="075E75DE"/>
    <w:rsid w:val="07645B4A"/>
    <w:rsid w:val="076860A8"/>
    <w:rsid w:val="076D7821"/>
    <w:rsid w:val="079052BE"/>
    <w:rsid w:val="07A62D33"/>
    <w:rsid w:val="07A733F6"/>
    <w:rsid w:val="07C82CA9"/>
    <w:rsid w:val="07CD206E"/>
    <w:rsid w:val="07E35D35"/>
    <w:rsid w:val="08163548"/>
    <w:rsid w:val="08391ED2"/>
    <w:rsid w:val="089716ED"/>
    <w:rsid w:val="08CC2655"/>
    <w:rsid w:val="09151112"/>
    <w:rsid w:val="091B52F7"/>
    <w:rsid w:val="091C13C7"/>
    <w:rsid w:val="092B4317"/>
    <w:rsid w:val="093A7BD7"/>
    <w:rsid w:val="093B4BC3"/>
    <w:rsid w:val="094232FC"/>
    <w:rsid w:val="094620D8"/>
    <w:rsid w:val="099A2423"/>
    <w:rsid w:val="099E1F14"/>
    <w:rsid w:val="09A34935"/>
    <w:rsid w:val="09B62700"/>
    <w:rsid w:val="0A033A90"/>
    <w:rsid w:val="0A2520A2"/>
    <w:rsid w:val="0A3F79A3"/>
    <w:rsid w:val="0A59408D"/>
    <w:rsid w:val="0AE75B3C"/>
    <w:rsid w:val="0AE95411"/>
    <w:rsid w:val="0AF344E1"/>
    <w:rsid w:val="0AFD2C6A"/>
    <w:rsid w:val="0AFD318D"/>
    <w:rsid w:val="0B9335CE"/>
    <w:rsid w:val="0BBF43C3"/>
    <w:rsid w:val="0BE718B9"/>
    <w:rsid w:val="0C1666D9"/>
    <w:rsid w:val="0C33338D"/>
    <w:rsid w:val="0C3837AD"/>
    <w:rsid w:val="0C461B4F"/>
    <w:rsid w:val="0CB620EA"/>
    <w:rsid w:val="0CBF274A"/>
    <w:rsid w:val="0CE83E39"/>
    <w:rsid w:val="0D10137A"/>
    <w:rsid w:val="0D103128"/>
    <w:rsid w:val="0D190642"/>
    <w:rsid w:val="0D1F15BD"/>
    <w:rsid w:val="0D347D03"/>
    <w:rsid w:val="0D4C7ED9"/>
    <w:rsid w:val="0E193301"/>
    <w:rsid w:val="0E2447F1"/>
    <w:rsid w:val="0EB9334C"/>
    <w:rsid w:val="0EE02A09"/>
    <w:rsid w:val="0EF30338"/>
    <w:rsid w:val="0EF820C6"/>
    <w:rsid w:val="0F0C3167"/>
    <w:rsid w:val="0F1B23BF"/>
    <w:rsid w:val="0F4E7F7D"/>
    <w:rsid w:val="0F5D63CD"/>
    <w:rsid w:val="0F9D0EBF"/>
    <w:rsid w:val="0FBC2FF0"/>
    <w:rsid w:val="0FDF10D4"/>
    <w:rsid w:val="0FEB5787"/>
    <w:rsid w:val="107734BE"/>
    <w:rsid w:val="107C6D27"/>
    <w:rsid w:val="10915F18"/>
    <w:rsid w:val="10A51DDA"/>
    <w:rsid w:val="10CA42ED"/>
    <w:rsid w:val="10D26947"/>
    <w:rsid w:val="10D60A11"/>
    <w:rsid w:val="10D91A83"/>
    <w:rsid w:val="10F20D97"/>
    <w:rsid w:val="111C6472"/>
    <w:rsid w:val="11276C93"/>
    <w:rsid w:val="11963E18"/>
    <w:rsid w:val="11B06C88"/>
    <w:rsid w:val="11FC011F"/>
    <w:rsid w:val="12402145"/>
    <w:rsid w:val="12525F91"/>
    <w:rsid w:val="126B2BAF"/>
    <w:rsid w:val="12AD31C8"/>
    <w:rsid w:val="12B46304"/>
    <w:rsid w:val="12F232D0"/>
    <w:rsid w:val="132D60B6"/>
    <w:rsid w:val="13315BA7"/>
    <w:rsid w:val="13675B6C"/>
    <w:rsid w:val="13815343"/>
    <w:rsid w:val="138A3509"/>
    <w:rsid w:val="13936AB9"/>
    <w:rsid w:val="13983E78"/>
    <w:rsid w:val="13A10F83"/>
    <w:rsid w:val="13AB531F"/>
    <w:rsid w:val="13AF2F6F"/>
    <w:rsid w:val="14264FE0"/>
    <w:rsid w:val="142B6A9A"/>
    <w:rsid w:val="14357918"/>
    <w:rsid w:val="145C4EA5"/>
    <w:rsid w:val="14717BEF"/>
    <w:rsid w:val="14A405FA"/>
    <w:rsid w:val="14B52807"/>
    <w:rsid w:val="14C10AEB"/>
    <w:rsid w:val="14D25941"/>
    <w:rsid w:val="14E76E65"/>
    <w:rsid w:val="15080666"/>
    <w:rsid w:val="1509227B"/>
    <w:rsid w:val="15145780"/>
    <w:rsid w:val="156F29B6"/>
    <w:rsid w:val="159266A5"/>
    <w:rsid w:val="15B773A6"/>
    <w:rsid w:val="15CF16A7"/>
    <w:rsid w:val="15D346A7"/>
    <w:rsid w:val="15EA028F"/>
    <w:rsid w:val="16041DC2"/>
    <w:rsid w:val="160937DE"/>
    <w:rsid w:val="16A058AD"/>
    <w:rsid w:val="16BF796D"/>
    <w:rsid w:val="17711442"/>
    <w:rsid w:val="178D1819"/>
    <w:rsid w:val="179E54C0"/>
    <w:rsid w:val="17C84600"/>
    <w:rsid w:val="17F65611"/>
    <w:rsid w:val="17F71F10"/>
    <w:rsid w:val="182038E0"/>
    <w:rsid w:val="185540E5"/>
    <w:rsid w:val="18602A8A"/>
    <w:rsid w:val="189D783A"/>
    <w:rsid w:val="18A312F5"/>
    <w:rsid w:val="18D019BE"/>
    <w:rsid w:val="18DF60A5"/>
    <w:rsid w:val="18DF798A"/>
    <w:rsid w:val="18F30F3D"/>
    <w:rsid w:val="18F57676"/>
    <w:rsid w:val="190D2C12"/>
    <w:rsid w:val="19143CAF"/>
    <w:rsid w:val="191E61EF"/>
    <w:rsid w:val="191F64A1"/>
    <w:rsid w:val="19755131"/>
    <w:rsid w:val="19834C82"/>
    <w:rsid w:val="19AC41D9"/>
    <w:rsid w:val="19B968F6"/>
    <w:rsid w:val="19CC487B"/>
    <w:rsid w:val="19FF1621"/>
    <w:rsid w:val="1A165AF6"/>
    <w:rsid w:val="1A591713"/>
    <w:rsid w:val="1A915957"/>
    <w:rsid w:val="1A951111"/>
    <w:rsid w:val="1A9C424D"/>
    <w:rsid w:val="1AA71539"/>
    <w:rsid w:val="1AC35C7E"/>
    <w:rsid w:val="1AC47317"/>
    <w:rsid w:val="1B0F2F7A"/>
    <w:rsid w:val="1B1C0ED8"/>
    <w:rsid w:val="1B2A0D10"/>
    <w:rsid w:val="1B387E5A"/>
    <w:rsid w:val="1B8448F8"/>
    <w:rsid w:val="1BB67591"/>
    <w:rsid w:val="1BD3623E"/>
    <w:rsid w:val="1BE539D2"/>
    <w:rsid w:val="1BF15446"/>
    <w:rsid w:val="1C2D0D45"/>
    <w:rsid w:val="1C76487C"/>
    <w:rsid w:val="1C784475"/>
    <w:rsid w:val="1CDA7AC0"/>
    <w:rsid w:val="1CDC4DD5"/>
    <w:rsid w:val="1CDD0B4D"/>
    <w:rsid w:val="1CF7709A"/>
    <w:rsid w:val="1D2624F4"/>
    <w:rsid w:val="1D47530C"/>
    <w:rsid w:val="1D57445C"/>
    <w:rsid w:val="1D714363"/>
    <w:rsid w:val="1D752B34"/>
    <w:rsid w:val="1D9643E8"/>
    <w:rsid w:val="1DA67191"/>
    <w:rsid w:val="1DCC31FE"/>
    <w:rsid w:val="1DF83E91"/>
    <w:rsid w:val="1E2A152E"/>
    <w:rsid w:val="1E320A25"/>
    <w:rsid w:val="1E366767"/>
    <w:rsid w:val="1E4075E6"/>
    <w:rsid w:val="1E5D33B2"/>
    <w:rsid w:val="1E8C45D9"/>
    <w:rsid w:val="1ECF44C6"/>
    <w:rsid w:val="1ED57D2E"/>
    <w:rsid w:val="1EE6018D"/>
    <w:rsid w:val="1EE937D9"/>
    <w:rsid w:val="1F57E50F"/>
    <w:rsid w:val="1F585875"/>
    <w:rsid w:val="1F6248B1"/>
    <w:rsid w:val="1F7532BF"/>
    <w:rsid w:val="1F7C464D"/>
    <w:rsid w:val="1FBE4C66"/>
    <w:rsid w:val="1FC63B1B"/>
    <w:rsid w:val="1FE76146"/>
    <w:rsid w:val="200D34F7"/>
    <w:rsid w:val="206E3DD0"/>
    <w:rsid w:val="20846DB3"/>
    <w:rsid w:val="20A06C94"/>
    <w:rsid w:val="20A26336"/>
    <w:rsid w:val="20D2147C"/>
    <w:rsid w:val="20EA55E7"/>
    <w:rsid w:val="210261A6"/>
    <w:rsid w:val="210A7A37"/>
    <w:rsid w:val="21156B08"/>
    <w:rsid w:val="21785657"/>
    <w:rsid w:val="218E0668"/>
    <w:rsid w:val="21D73DBD"/>
    <w:rsid w:val="22A7378F"/>
    <w:rsid w:val="22CA56D0"/>
    <w:rsid w:val="22EE7610"/>
    <w:rsid w:val="23020B9B"/>
    <w:rsid w:val="23563407"/>
    <w:rsid w:val="2369043B"/>
    <w:rsid w:val="23D83E1C"/>
    <w:rsid w:val="23F171DD"/>
    <w:rsid w:val="24013373"/>
    <w:rsid w:val="241035B6"/>
    <w:rsid w:val="24173588"/>
    <w:rsid w:val="248400FD"/>
    <w:rsid w:val="24BB5C18"/>
    <w:rsid w:val="24D52712"/>
    <w:rsid w:val="24F744DF"/>
    <w:rsid w:val="250255F5"/>
    <w:rsid w:val="2504136D"/>
    <w:rsid w:val="25216B98"/>
    <w:rsid w:val="2522492D"/>
    <w:rsid w:val="25347FF8"/>
    <w:rsid w:val="255B3E43"/>
    <w:rsid w:val="25627E42"/>
    <w:rsid w:val="25AE3087"/>
    <w:rsid w:val="25B20DC9"/>
    <w:rsid w:val="25DE2FF9"/>
    <w:rsid w:val="25EE5B79"/>
    <w:rsid w:val="25F90E12"/>
    <w:rsid w:val="260B672B"/>
    <w:rsid w:val="2628108B"/>
    <w:rsid w:val="26A56376"/>
    <w:rsid w:val="26B75F6B"/>
    <w:rsid w:val="26C1503C"/>
    <w:rsid w:val="26E86A6C"/>
    <w:rsid w:val="26F20826"/>
    <w:rsid w:val="27010436"/>
    <w:rsid w:val="271635D9"/>
    <w:rsid w:val="273B3040"/>
    <w:rsid w:val="27684462"/>
    <w:rsid w:val="276A2196"/>
    <w:rsid w:val="27716A62"/>
    <w:rsid w:val="278A3680"/>
    <w:rsid w:val="2791259C"/>
    <w:rsid w:val="279369D8"/>
    <w:rsid w:val="27982240"/>
    <w:rsid w:val="27AC7A9A"/>
    <w:rsid w:val="27B626C7"/>
    <w:rsid w:val="27D36DD5"/>
    <w:rsid w:val="27DF39CB"/>
    <w:rsid w:val="27DF3EE1"/>
    <w:rsid w:val="280D0539"/>
    <w:rsid w:val="28123DA1"/>
    <w:rsid w:val="28520659"/>
    <w:rsid w:val="286A598B"/>
    <w:rsid w:val="287A36F4"/>
    <w:rsid w:val="28920A3E"/>
    <w:rsid w:val="28A8476E"/>
    <w:rsid w:val="28D86FE0"/>
    <w:rsid w:val="28EB0DF4"/>
    <w:rsid w:val="28EC45F2"/>
    <w:rsid w:val="290B498A"/>
    <w:rsid w:val="29422464"/>
    <w:rsid w:val="299965AB"/>
    <w:rsid w:val="29CB06AB"/>
    <w:rsid w:val="29DC2957"/>
    <w:rsid w:val="2A9D2EAF"/>
    <w:rsid w:val="2ADF44BC"/>
    <w:rsid w:val="2B24409F"/>
    <w:rsid w:val="2B3D7387"/>
    <w:rsid w:val="2B467F3F"/>
    <w:rsid w:val="2B681F2A"/>
    <w:rsid w:val="2BA411B4"/>
    <w:rsid w:val="2BA84A00"/>
    <w:rsid w:val="2BAA0794"/>
    <w:rsid w:val="2BAF1907"/>
    <w:rsid w:val="2BBE7D9C"/>
    <w:rsid w:val="2BD2547C"/>
    <w:rsid w:val="2C165AE7"/>
    <w:rsid w:val="2C4633EA"/>
    <w:rsid w:val="2C862667"/>
    <w:rsid w:val="2C9F2793"/>
    <w:rsid w:val="2CB82A3D"/>
    <w:rsid w:val="2CC80ED2"/>
    <w:rsid w:val="2CD812B0"/>
    <w:rsid w:val="2D0A3299"/>
    <w:rsid w:val="2D142369"/>
    <w:rsid w:val="2D1660E1"/>
    <w:rsid w:val="2D4F33A1"/>
    <w:rsid w:val="2D5F7AEE"/>
    <w:rsid w:val="2D7C1CBC"/>
    <w:rsid w:val="2D9C6C0D"/>
    <w:rsid w:val="2DCE076A"/>
    <w:rsid w:val="2DF61A6F"/>
    <w:rsid w:val="2E2A34C6"/>
    <w:rsid w:val="2E5D1AEE"/>
    <w:rsid w:val="2E7E2FE0"/>
    <w:rsid w:val="2EA944D2"/>
    <w:rsid w:val="2EBF2578"/>
    <w:rsid w:val="2EF35057"/>
    <w:rsid w:val="2F0A0548"/>
    <w:rsid w:val="2F0B32F8"/>
    <w:rsid w:val="2F511653"/>
    <w:rsid w:val="2F5C639F"/>
    <w:rsid w:val="2F666780"/>
    <w:rsid w:val="2FB13EB5"/>
    <w:rsid w:val="2FE029D7"/>
    <w:rsid w:val="30074904"/>
    <w:rsid w:val="300A1801"/>
    <w:rsid w:val="300E30A0"/>
    <w:rsid w:val="30A92DC8"/>
    <w:rsid w:val="30B15BC1"/>
    <w:rsid w:val="30E47124"/>
    <w:rsid w:val="3119625B"/>
    <w:rsid w:val="31524179"/>
    <w:rsid w:val="31741628"/>
    <w:rsid w:val="317E4255"/>
    <w:rsid w:val="318B6972"/>
    <w:rsid w:val="319121DA"/>
    <w:rsid w:val="31A041CB"/>
    <w:rsid w:val="31D16A7B"/>
    <w:rsid w:val="31EF0CAF"/>
    <w:rsid w:val="32035783"/>
    <w:rsid w:val="32186458"/>
    <w:rsid w:val="322A7F39"/>
    <w:rsid w:val="324D69E2"/>
    <w:rsid w:val="32625925"/>
    <w:rsid w:val="32966AE3"/>
    <w:rsid w:val="33223F5B"/>
    <w:rsid w:val="333C1DAF"/>
    <w:rsid w:val="33420075"/>
    <w:rsid w:val="33705886"/>
    <w:rsid w:val="337E22EA"/>
    <w:rsid w:val="33A4500D"/>
    <w:rsid w:val="33F15215"/>
    <w:rsid w:val="341669C7"/>
    <w:rsid w:val="34221BAB"/>
    <w:rsid w:val="342310E4"/>
    <w:rsid w:val="342804A8"/>
    <w:rsid w:val="34574ACF"/>
    <w:rsid w:val="34666500"/>
    <w:rsid w:val="3485379F"/>
    <w:rsid w:val="349C5FC1"/>
    <w:rsid w:val="34C05684"/>
    <w:rsid w:val="34C839CB"/>
    <w:rsid w:val="35301D0A"/>
    <w:rsid w:val="354E7C5B"/>
    <w:rsid w:val="35915BC6"/>
    <w:rsid w:val="359D0A43"/>
    <w:rsid w:val="35B446E9"/>
    <w:rsid w:val="35BC17F0"/>
    <w:rsid w:val="35F25212"/>
    <w:rsid w:val="36116DAA"/>
    <w:rsid w:val="363C540D"/>
    <w:rsid w:val="36416515"/>
    <w:rsid w:val="36521CA0"/>
    <w:rsid w:val="366205A6"/>
    <w:rsid w:val="366235D0"/>
    <w:rsid w:val="366E2AEA"/>
    <w:rsid w:val="36712734"/>
    <w:rsid w:val="369E4A52"/>
    <w:rsid w:val="36AD2EE7"/>
    <w:rsid w:val="36B33EA4"/>
    <w:rsid w:val="36B97ADD"/>
    <w:rsid w:val="370A4123"/>
    <w:rsid w:val="37105007"/>
    <w:rsid w:val="3714046D"/>
    <w:rsid w:val="37166CDE"/>
    <w:rsid w:val="371B60A2"/>
    <w:rsid w:val="379F0A81"/>
    <w:rsid w:val="379F6CD3"/>
    <w:rsid w:val="37C93D50"/>
    <w:rsid w:val="37DE05C8"/>
    <w:rsid w:val="37EE4E6A"/>
    <w:rsid w:val="37F75570"/>
    <w:rsid w:val="38185412"/>
    <w:rsid w:val="3832028F"/>
    <w:rsid w:val="384855BD"/>
    <w:rsid w:val="38A8605B"/>
    <w:rsid w:val="38F90665"/>
    <w:rsid w:val="38FF5DE7"/>
    <w:rsid w:val="394C4C39"/>
    <w:rsid w:val="39836BEC"/>
    <w:rsid w:val="398D772B"/>
    <w:rsid w:val="39A44A75"/>
    <w:rsid w:val="39B35AC2"/>
    <w:rsid w:val="39D87059"/>
    <w:rsid w:val="39E76FAA"/>
    <w:rsid w:val="3A1C0AAF"/>
    <w:rsid w:val="3A5C534F"/>
    <w:rsid w:val="3A667F7C"/>
    <w:rsid w:val="3AC151B3"/>
    <w:rsid w:val="3AE57819"/>
    <w:rsid w:val="3AF85078"/>
    <w:rsid w:val="3B253993"/>
    <w:rsid w:val="3B2E2848"/>
    <w:rsid w:val="3B2F4FC9"/>
    <w:rsid w:val="3B626996"/>
    <w:rsid w:val="3B653D90"/>
    <w:rsid w:val="3BEE2461"/>
    <w:rsid w:val="3C292100"/>
    <w:rsid w:val="3C3E2DF0"/>
    <w:rsid w:val="3C552955"/>
    <w:rsid w:val="3C664263"/>
    <w:rsid w:val="3C667DC0"/>
    <w:rsid w:val="3C7613D4"/>
    <w:rsid w:val="3CEF6007"/>
    <w:rsid w:val="3D0A4BEF"/>
    <w:rsid w:val="3D4445A5"/>
    <w:rsid w:val="3D6C7658"/>
    <w:rsid w:val="3D704D42"/>
    <w:rsid w:val="3D8F1791"/>
    <w:rsid w:val="3D9F4236"/>
    <w:rsid w:val="3DBB586E"/>
    <w:rsid w:val="3DFE308E"/>
    <w:rsid w:val="3E043D34"/>
    <w:rsid w:val="3E3B41B2"/>
    <w:rsid w:val="3E416D36"/>
    <w:rsid w:val="3E436887"/>
    <w:rsid w:val="3E72001C"/>
    <w:rsid w:val="3E7802D0"/>
    <w:rsid w:val="3E823B0A"/>
    <w:rsid w:val="3EB23790"/>
    <w:rsid w:val="3ECC2B23"/>
    <w:rsid w:val="3EF7239A"/>
    <w:rsid w:val="3F1B30E3"/>
    <w:rsid w:val="3F4A21FD"/>
    <w:rsid w:val="3F6525B0"/>
    <w:rsid w:val="3F6C3694"/>
    <w:rsid w:val="3F7D3D9E"/>
    <w:rsid w:val="3F934A87"/>
    <w:rsid w:val="3FCF2120"/>
    <w:rsid w:val="3FDD6F27"/>
    <w:rsid w:val="3FEA0D08"/>
    <w:rsid w:val="402971CE"/>
    <w:rsid w:val="402B55A8"/>
    <w:rsid w:val="403F5BFA"/>
    <w:rsid w:val="4047615A"/>
    <w:rsid w:val="40583EC3"/>
    <w:rsid w:val="40D519B8"/>
    <w:rsid w:val="40DE086C"/>
    <w:rsid w:val="40E81285"/>
    <w:rsid w:val="419A2DBD"/>
    <w:rsid w:val="41E2613A"/>
    <w:rsid w:val="42445FBE"/>
    <w:rsid w:val="42650575"/>
    <w:rsid w:val="42700A46"/>
    <w:rsid w:val="4281555E"/>
    <w:rsid w:val="42930BD6"/>
    <w:rsid w:val="43000F6E"/>
    <w:rsid w:val="430B346F"/>
    <w:rsid w:val="43140575"/>
    <w:rsid w:val="43210EE4"/>
    <w:rsid w:val="432A62D3"/>
    <w:rsid w:val="433C5D1E"/>
    <w:rsid w:val="4350530C"/>
    <w:rsid w:val="43BB4117"/>
    <w:rsid w:val="43C27FD1"/>
    <w:rsid w:val="43D67F21"/>
    <w:rsid w:val="440A59E9"/>
    <w:rsid w:val="44412933"/>
    <w:rsid w:val="445D5F4C"/>
    <w:rsid w:val="446A2417"/>
    <w:rsid w:val="44703ED1"/>
    <w:rsid w:val="44B32010"/>
    <w:rsid w:val="44D04970"/>
    <w:rsid w:val="44EF1C2A"/>
    <w:rsid w:val="456311BE"/>
    <w:rsid w:val="45857508"/>
    <w:rsid w:val="45A100BA"/>
    <w:rsid w:val="45C00171"/>
    <w:rsid w:val="45C54E48"/>
    <w:rsid w:val="45D1274E"/>
    <w:rsid w:val="45E16FF2"/>
    <w:rsid w:val="45E216A1"/>
    <w:rsid w:val="46933EA7"/>
    <w:rsid w:val="469F0913"/>
    <w:rsid w:val="46AC58E1"/>
    <w:rsid w:val="4723522B"/>
    <w:rsid w:val="47411B55"/>
    <w:rsid w:val="4760647F"/>
    <w:rsid w:val="47CB42B8"/>
    <w:rsid w:val="47F210A1"/>
    <w:rsid w:val="47F41D83"/>
    <w:rsid w:val="48226D7F"/>
    <w:rsid w:val="482C45B3"/>
    <w:rsid w:val="483E7E42"/>
    <w:rsid w:val="48894852"/>
    <w:rsid w:val="48B819A3"/>
    <w:rsid w:val="48C400DF"/>
    <w:rsid w:val="48C47BE7"/>
    <w:rsid w:val="48C91E02"/>
    <w:rsid w:val="48D83DF3"/>
    <w:rsid w:val="48E56510"/>
    <w:rsid w:val="48FF3A76"/>
    <w:rsid w:val="494D658F"/>
    <w:rsid w:val="49520049"/>
    <w:rsid w:val="49731D6E"/>
    <w:rsid w:val="4977185E"/>
    <w:rsid w:val="497E098C"/>
    <w:rsid w:val="49891591"/>
    <w:rsid w:val="498B355B"/>
    <w:rsid w:val="499C12C5"/>
    <w:rsid w:val="49AB775A"/>
    <w:rsid w:val="49D01551"/>
    <w:rsid w:val="4A5A6411"/>
    <w:rsid w:val="4A600F1F"/>
    <w:rsid w:val="4A930919"/>
    <w:rsid w:val="4AA414CB"/>
    <w:rsid w:val="4AB24984"/>
    <w:rsid w:val="4AD827D0"/>
    <w:rsid w:val="4AD8457E"/>
    <w:rsid w:val="4B074E64"/>
    <w:rsid w:val="4B276F69"/>
    <w:rsid w:val="4B3A7D12"/>
    <w:rsid w:val="4B7B7ABD"/>
    <w:rsid w:val="4B906C07"/>
    <w:rsid w:val="4B913E7E"/>
    <w:rsid w:val="4BA6642B"/>
    <w:rsid w:val="4BE87D6B"/>
    <w:rsid w:val="4C137A41"/>
    <w:rsid w:val="4C1C66ED"/>
    <w:rsid w:val="4C50191A"/>
    <w:rsid w:val="4C692F12"/>
    <w:rsid w:val="4C990922"/>
    <w:rsid w:val="4CBB4158"/>
    <w:rsid w:val="4CCF550D"/>
    <w:rsid w:val="4D235A67"/>
    <w:rsid w:val="4D237E1F"/>
    <w:rsid w:val="4D29404E"/>
    <w:rsid w:val="4D7178A9"/>
    <w:rsid w:val="4D8C0AFD"/>
    <w:rsid w:val="4DA62712"/>
    <w:rsid w:val="4DDD4434"/>
    <w:rsid w:val="4E173610"/>
    <w:rsid w:val="4E2118E3"/>
    <w:rsid w:val="4E265601"/>
    <w:rsid w:val="4E4F6905"/>
    <w:rsid w:val="4EA336D8"/>
    <w:rsid w:val="4EA36C51"/>
    <w:rsid w:val="4EE06F77"/>
    <w:rsid w:val="4EF80DAD"/>
    <w:rsid w:val="4F2558B8"/>
    <w:rsid w:val="4F2627F5"/>
    <w:rsid w:val="4F275265"/>
    <w:rsid w:val="4F3124AF"/>
    <w:rsid w:val="4F337FD5"/>
    <w:rsid w:val="4F716D4F"/>
    <w:rsid w:val="4F9C3DCC"/>
    <w:rsid w:val="4FAD5FDA"/>
    <w:rsid w:val="4FB43616"/>
    <w:rsid w:val="4FB70C06"/>
    <w:rsid w:val="4FCA0330"/>
    <w:rsid w:val="4FFF435B"/>
    <w:rsid w:val="500D0826"/>
    <w:rsid w:val="505428F9"/>
    <w:rsid w:val="50575F45"/>
    <w:rsid w:val="50597F0F"/>
    <w:rsid w:val="506568B4"/>
    <w:rsid w:val="50895907"/>
    <w:rsid w:val="508A1E77"/>
    <w:rsid w:val="508D5E0B"/>
    <w:rsid w:val="50CF01D2"/>
    <w:rsid w:val="50CF1F80"/>
    <w:rsid w:val="50D46B08"/>
    <w:rsid w:val="50FA629D"/>
    <w:rsid w:val="511646DB"/>
    <w:rsid w:val="513F7105"/>
    <w:rsid w:val="516F72BF"/>
    <w:rsid w:val="517A1653"/>
    <w:rsid w:val="517E2B19"/>
    <w:rsid w:val="517E430A"/>
    <w:rsid w:val="51C27D36"/>
    <w:rsid w:val="5202788D"/>
    <w:rsid w:val="52302EF2"/>
    <w:rsid w:val="523072B3"/>
    <w:rsid w:val="524644C3"/>
    <w:rsid w:val="52691F60"/>
    <w:rsid w:val="528462EE"/>
    <w:rsid w:val="529E01D6"/>
    <w:rsid w:val="52B94C95"/>
    <w:rsid w:val="52BE405A"/>
    <w:rsid w:val="52D7511B"/>
    <w:rsid w:val="535B1F07"/>
    <w:rsid w:val="5382152B"/>
    <w:rsid w:val="53B316E5"/>
    <w:rsid w:val="53C75190"/>
    <w:rsid w:val="54446A80"/>
    <w:rsid w:val="54622056"/>
    <w:rsid w:val="54776BB6"/>
    <w:rsid w:val="548457F1"/>
    <w:rsid w:val="549F0B68"/>
    <w:rsid w:val="54AB5BF1"/>
    <w:rsid w:val="54AB6860"/>
    <w:rsid w:val="550A7A2A"/>
    <w:rsid w:val="550F5041"/>
    <w:rsid w:val="55472A2C"/>
    <w:rsid w:val="554C0043"/>
    <w:rsid w:val="55546EF7"/>
    <w:rsid w:val="55CC0ABE"/>
    <w:rsid w:val="5606196D"/>
    <w:rsid w:val="56494582"/>
    <w:rsid w:val="566B0279"/>
    <w:rsid w:val="568775D5"/>
    <w:rsid w:val="568E4899"/>
    <w:rsid w:val="574C75CB"/>
    <w:rsid w:val="57713D91"/>
    <w:rsid w:val="57727B09"/>
    <w:rsid w:val="578A30A4"/>
    <w:rsid w:val="579E26AC"/>
    <w:rsid w:val="57D26DC6"/>
    <w:rsid w:val="57F56069"/>
    <w:rsid w:val="58071B26"/>
    <w:rsid w:val="581A4428"/>
    <w:rsid w:val="586438F5"/>
    <w:rsid w:val="58931AE5"/>
    <w:rsid w:val="589A10C5"/>
    <w:rsid w:val="58B72394"/>
    <w:rsid w:val="58BD4DB3"/>
    <w:rsid w:val="58DA7713"/>
    <w:rsid w:val="58E961AE"/>
    <w:rsid w:val="594D4389"/>
    <w:rsid w:val="595A2228"/>
    <w:rsid w:val="59B461B6"/>
    <w:rsid w:val="59D80245"/>
    <w:rsid w:val="5A032C9A"/>
    <w:rsid w:val="5A3A10D3"/>
    <w:rsid w:val="5A6373D1"/>
    <w:rsid w:val="5A84657D"/>
    <w:rsid w:val="5AAF7962"/>
    <w:rsid w:val="5AB000F4"/>
    <w:rsid w:val="5ABD033C"/>
    <w:rsid w:val="5B57504B"/>
    <w:rsid w:val="5B793B29"/>
    <w:rsid w:val="5B8449DB"/>
    <w:rsid w:val="5B9B13DC"/>
    <w:rsid w:val="5BB64468"/>
    <w:rsid w:val="5BCD22B6"/>
    <w:rsid w:val="5BD41FC1"/>
    <w:rsid w:val="5BF907F8"/>
    <w:rsid w:val="5C237623"/>
    <w:rsid w:val="5CAC7619"/>
    <w:rsid w:val="5CB169DD"/>
    <w:rsid w:val="5D096819"/>
    <w:rsid w:val="5D135E9A"/>
    <w:rsid w:val="5D4F5F4A"/>
    <w:rsid w:val="5DB9023F"/>
    <w:rsid w:val="5DCD5A99"/>
    <w:rsid w:val="5DD82F19"/>
    <w:rsid w:val="5DEC4171"/>
    <w:rsid w:val="5E180F16"/>
    <w:rsid w:val="5E9F11E3"/>
    <w:rsid w:val="5EA70098"/>
    <w:rsid w:val="5EB278C9"/>
    <w:rsid w:val="5EDF7832"/>
    <w:rsid w:val="5EE71275"/>
    <w:rsid w:val="5EF17565"/>
    <w:rsid w:val="5EFF1C82"/>
    <w:rsid w:val="5F183046"/>
    <w:rsid w:val="5F3F4774"/>
    <w:rsid w:val="5F582B88"/>
    <w:rsid w:val="5F97010C"/>
    <w:rsid w:val="5FF61893"/>
    <w:rsid w:val="602709F8"/>
    <w:rsid w:val="6038228F"/>
    <w:rsid w:val="605E6476"/>
    <w:rsid w:val="606103C9"/>
    <w:rsid w:val="608D150F"/>
    <w:rsid w:val="60B62814"/>
    <w:rsid w:val="60B95927"/>
    <w:rsid w:val="60BF5B6D"/>
    <w:rsid w:val="610362D4"/>
    <w:rsid w:val="610B7004"/>
    <w:rsid w:val="6118527D"/>
    <w:rsid w:val="61202383"/>
    <w:rsid w:val="61371BA7"/>
    <w:rsid w:val="614222FA"/>
    <w:rsid w:val="61425A64"/>
    <w:rsid w:val="614B3CBF"/>
    <w:rsid w:val="617970BB"/>
    <w:rsid w:val="61EE47DE"/>
    <w:rsid w:val="61F74CB9"/>
    <w:rsid w:val="61FA2BD4"/>
    <w:rsid w:val="61FF2350"/>
    <w:rsid w:val="62C3746A"/>
    <w:rsid w:val="62DE7EE0"/>
    <w:rsid w:val="630C0E11"/>
    <w:rsid w:val="631150EB"/>
    <w:rsid w:val="63750765"/>
    <w:rsid w:val="63860E8D"/>
    <w:rsid w:val="63BA45E6"/>
    <w:rsid w:val="63C17E4E"/>
    <w:rsid w:val="63CB2A7A"/>
    <w:rsid w:val="63D57455"/>
    <w:rsid w:val="63D715A1"/>
    <w:rsid w:val="63E15DFA"/>
    <w:rsid w:val="63E37DC4"/>
    <w:rsid w:val="63E63410"/>
    <w:rsid w:val="63FC658A"/>
    <w:rsid w:val="64034EC5"/>
    <w:rsid w:val="641A1C8B"/>
    <w:rsid w:val="64576DFD"/>
    <w:rsid w:val="64654C7D"/>
    <w:rsid w:val="64664AA2"/>
    <w:rsid w:val="648A0240"/>
    <w:rsid w:val="648D1FCA"/>
    <w:rsid w:val="648D3899"/>
    <w:rsid w:val="64BD0615"/>
    <w:rsid w:val="64EA2065"/>
    <w:rsid w:val="653D3504"/>
    <w:rsid w:val="657C4DAA"/>
    <w:rsid w:val="65842EE1"/>
    <w:rsid w:val="65965345"/>
    <w:rsid w:val="65A6554D"/>
    <w:rsid w:val="65D379C4"/>
    <w:rsid w:val="65D73958"/>
    <w:rsid w:val="65E505B2"/>
    <w:rsid w:val="65E73470"/>
    <w:rsid w:val="65F82495"/>
    <w:rsid w:val="660404C6"/>
    <w:rsid w:val="663721A5"/>
    <w:rsid w:val="665E1984"/>
    <w:rsid w:val="66A77ED0"/>
    <w:rsid w:val="66ED18C1"/>
    <w:rsid w:val="66FB2B9B"/>
    <w:rsid w:val="67035656"/>
    <w:rsid w:val="67086EF1"/>
    <w:rsid w:val="67087B42"/>
    <w:rsid w:val="67114C48"/>
    <w:rsid w:val="67185FD7"/>
    <w:rsid w:val="67580275"/>
    <w:rsid w:val="677A0A3F"/>
    <w:rsid w:val="67915D89"/>
    <w:rsid w:val="680C46FC"/>
    <w:rsid w:val="68307350"/>
    <w:rsid w:val="683B0A95"/>
    <w:rsid w:val="687F50CC"/>
    <w:rsid w:val="688E20AC"/>
    <w:rsid w:val="689A2A1B"/>
    <w:rsid w:val="68C208E3"/>
    <w:rsid w:val="68D75C06"/>
    <w:rsid w:val="693D1D24"/>
    <w:rsid w:val="694806C9"/>
    <w:rsid w:val="69DA187A"/>
    <w:rsid w:val="69E228CC"/>
    <w:rsid w:val="6A102F95"/>
    <w:rsid w:val="6A1E49EE"/>
    <w:rsid w:val="6A1F58CE"/>
    <w:rsid w:val="6A386990"/>
    <w:rsid w:val="6A517800"/>
    <w:rsid w:val="6A733988"/>
    <w:rsid w:val="6A80346D"/>
    <w:rsid w:val="6A84252C"/>
    <w:rsid w:val="6B2667E8"/>
    <w:rsid w:val="6B2E7D36"/>
    <w:rsid w:val="6B317667"/>
    <w:rsid w:val="6B39651C"/>
    <w:rsid w:val="6B454EC0"/>
    <w:rsid w:val="6B4A697B"/>
    <w:rsid w:val="6B511AB7"/>
    <w:rsid w:val="6B8A321B"/>
    <w:rsid w:val="6BBF1117"/>
    <w:rsid w:val="6BD808EE"/>
    <w:rsid w:val="6BF60B14"/>
    <w:rsid w:val="6C142268"/>
    <w:rsid w:val="6C182A5D"/>
    <w:rsid w:val="6C3C4515"/>
    <w:rsid w:val="6C3F3D03"/>
    <w:rsid w:val="6C45090D"/>
    <w:rsid w:val="6C783074"/>
    <w:rsid w:val="6C906CD0"/>
    <w:rsid w:val="6C9F2F49"/>
    <w:rsid w:val="6CCC34A0"/>
    <w:rsid w:val="6CD01102"/>
    <w:rsid w:val="6CD81D64"/>
    <w:rsid w:val="6CEB1A97"/>
    <w:rsid w:val="6CF070AE"/>
    <w:rsid w:val="6D056FFD"/>
    <w:rsid w:val="6D140FEE"/>
    <w:rsid w:val="6D1C7EA3"/>
    <w:rsid w:val="6D3715F0"/>
    <w:rsid w:val="6D45284C"/>
    <w:rsid w:val="6D610768"/>
    <w:rsid w:val="6DEF510F"/>
    <w:rsid w:val="6E0049EA"/>
    <w:rsid w:val="6E205AC9"/>
    <w:rsid w:val="6E2711F5"/>
    <w:rsid w:val="6E6765D2"/>
    <w:rsid w:val="6E7361E8"/>
    <w:rsid w:val="6EB34837"/>
    <w:rsid w:val="6EEB3447"/>
    <w:rsid w:val="6EF536BE"/>
    <w:rsid w:val="6EF966EE"/>
    <w:rsid w:val="6F165DD9"/>
    <w:rsid w:val="6F204B98"/>
    <w:rsid w:val="6F213E96"/>
    <w:rsid w:val="6F2B261F"/>
    <w:rsid w:val="6F4E16D7"/>
    <w:rsid w:val="6F814935"/>
    <w:rsid w:val="6FAD71DC"/>
    <w:rsid w:val="6FB9606E"/>
    <w:rsid w:val="6FD40F09"/>
    <w:rsid w:val="6FD607DD"/>
    <w:rsid w:val="6FF664A7"/>
    <w:rsid w:val="7007308C"/>
    <w:rsid w:val="70281CF1"/>
    <w:rsid w:val="70425E72"/>
    <w:rsid w:val="705160B5"/>
    <w:rsid w:val="707F6E74"/>
    <w:rsid w:val="709C4DBC"/>
    <w:rsid w:val="70A24B63"/>
    <w:rsid w:val="71283BDB"/>
    <w:rsid w:val="713F0604"/>
    <w:rsid w:val="715F1BDC"/>
    <w:rsid w:val="71673246"/>
    <w:rsid w:val="71704AAF"/>
    <w:rsid w:val="71705FC9"/>
    <w:rsid w:val="71A65242"/>
    <w:rsid w:val="71D71024"/>
    <w:rsid w:val="72281098"/>
    <w:rsid w:val="72282CA4"/>
    <w:rsid w:val="7238752D"/>
    <w:rsid w:val="72541E8D"/>
    <w:rsid w:val="7258372B"/>
    <w:rsid w:val="726102B7"/>
    <w:rsid w:val="72E6342D"/>
    <w:rsid w:val="72FA2A34"/>
    <w:rsid w:val="7318735E"/>
    <w:rsid w:val="733F2B3D"/>
    <w:rsid w:val="734E35CA"/>
    <w:rsid w:val="735C724B"/>
    <w:rsid w:val="735FDFD4"/>
    <w:rsid w:val="738C2E7A"/>
    <w:rsid w:val="74033B6B"/>
    <w:rsid w:val="741527AA"/>
    <w:rsid w:val="74507BFC"/>
    <w:rsid w:val="74824CA6"/>
    <w:rsid w:val="74862DDB"/>
    <w:rsid w:val="74866CC7"/>
    <w:rsid w:val="749E5641"/>
    <w:rsid w:val="74A76831"/>
    <w:rsid w:val="74AA0C93"/>
    <w:rsid w:val="74B549A6"/>
    <w:rsid w:val="74DF0134"/>
    <w:rsid w:val="752D5343"/>
    <w:rsid w:val="75353045"/>
    <w:rsid w:val="75457920"/>
    <w:rsid w:val="754D1541"/>
    <w:rsid w:val="75501031"/>
    <w:rsid w:val="757A4300"/>
    <w:rsid w:val="75994786"/>
    <w:rsid w:val="759E1D9D"/>
    <w:rsid w:val="75CF4FA6"/>
    <w:rsid w:val="75F6612F"/>
    <w:rsid w:val="76176804"/>
    <w:rsid w:val="761B33ED"/>
    <w:rsid w:val="76530DD9"/>
    <w:rsid w:val="766703E1"/>
    <w:rsid w:val="76724FD8"/>
    <w:rsid w:val="76870A83"/>
    <w:rsid w:val="76A038F3"/>
    <w:rsid w:val="76C361D8"/>
    <w:rsid w:val="76FD6F97"/>
    <w:rsid w:val="770F2826"/>
    <w:rsid w:val="77381D7D"/>
    <w:rsid w:val="773A3199"/>
    <w:rsid w:val="77510F5D"/>
    <w:rsid w:val="776B2153"/>
    <w:rsid w:val="778B45A3"/>
    <w:rsid w:val="77A141A5"/>
    <w:rsid w:val="77BD2282"/>
    <w:rsid w:val="77D3326F"/>
    <w:rsid w:val="77E37F3B"/>
    <w:rsid w:val="78356FDC"/>
    <w:rsid w:val="784F55D0"/>
    <w:rsid w:val="786712C6"/>
    <w:rsid w:val="788259A6"/>
    <w:rsid w:val="788F3A2D"/>
    <w:rsid w:val="78A23952"/>
    <w:rsid w:val="78A771BA"/>
    <w:rsid w:val="78BB721F"/>
    <w:rsid w:val="78C252D2"/>
    <w:rsid w:val="78E06AB0"/>
    <w:rsid w:val="78E632BF"/>
    <w:rsid w:val="78EC2E1F"/>
    <w:rsid w:val="79101809"/>
    <w:rsid w:val="79240F16"/>
    <w:rsid w:val="793B3DA7"/>
    <w:rsid w:val="79404F19"/>
    <w:rsid w:val="79A608A8"/>
    <w:rsid w:val="79B17BC5"/>
    <w:rsid w:val="79B97512"/>
    <w:rsid w:val="79C36276"/>
    <w:rsid w:val="7A1A1C0E"/>
    <w:rsid w:val="7A481563"/>
    <w:rsid w:val="7A490C32"/>
    <w:rsid w:val="7A4E42C3"/>
    <w:rsid w:val="7A5275FA"/>
    <w:rsid w:val="7A603AC5"/>
    <w:rsid w:val="7A684727"/>
    <w:rsid w:val="7AA5772A"/>
    <w:rsid w:val="7AA716F4"/>
    <w:rsid w:val="7AFD1314"/>
    <w:rsid w:val="7B226FCC"/>
    <w:rsid w:val="7B255D68"/>
    <w:rsid w:val="7B3041E8"/>
    <w:rsid w:val="7B322F9B"/>
    <w:rsid w:val="7B3D7962"/>
    <w:rsid w:val="7B4A207F"/>
    <w:rsid w:val="7B811F45"/>
    <w:rsid w:val="7BB35E76"/>
    <w:rsid w:val="7BB46E71"/>
    <w:rsid w:val="7BB64E3B"/>
    <w:rsid w:val="7BBA0721"/>
    <w:rsid w:val="7BC260B9"/>
    <w:rsid w:val="7BEC568C"/>
    <w:rsid w:val="7BF73FB5"/>
    <w:rsid w:val="7BFD3F26"/>
    <w:rsid w:val="7C1D1542"/>
    <w:rsid w:val="7C4D62CB"/>
    <w:rsid w:val="7C624B36"/>
    <w:rsid w:val="7C6B6751"/>
    <w:rsid w:val="7C812849"/>
    <w:rsid w:val="7CB77BE8"/>
    <w:rsid w:val="7CD60D99"/>
    <w:rsid w:val="7CE352DA"/>
    <w:rsid w:val="7D031D4D"/>
    <w:rsid w:val="7D0746CC"/>
    <w:rsid w:val="7D28412D"/>
    <w:rsid w:val="7D474AC8"/>
    <w:rsid w:val="7D4C20DE"/>
    <w:rsid w:val="7D621902"/>
    <w:rsid w:val="7D66184D"/>
    <w:rsid w:val="7D715FE9"/>
    <w:rsid w:val="7D9D0B8C"/>
    <w:rsid w:val="7DDA593C"/>
    <w:rsid w:val="7E6C1E82"/>
    <w:rsid w:val="7E7E09BD"/>
    <w:rsid w:val="7EA128FE"/>
    <w:rsid w:val="7EA6685A"/>
    <w:rsid w:val="7EBC79B7"/>
    <w:rsid w:val="7F0D1FD5"/>
    <w:rsid w:val="7F2839F3"/>
    <w:rsid w:val="7F3E1EFB"/>
    <w:rsid w:val="7F463BFE"/>
    <w:rsid w:val="7F601E71"/>
    <w:rsid w:val="7F631C62"/>
    <w:rsid w:val="7F6C2F0C"/>
    <w:rsid w:val="7F9B559F"/>
    <w:rsid w:val="7FFB7DEC"/>
    <w:rsid w:val="8EEF521B"/>
    <w:rsid w:val="BBF705B7"/>
    <w:rsid w:val="BE7EBD27"/>
    <w:rsid w:val="BE7FCB13"/>
    <w:rsid w:val="C9FF71C5"/>
    <w:rsid w:val="DBFB6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字符"/>
    <w:link w:val="2"/>
    <w:semiHidden/>
    <w:qFormat/>
    <w:uiPriority w:val="99"/>
    <w:rPr>
      <w:rFonts w:ascii="Times New Roman" w:hAnsi="Times New Roman"/>
      <w:kern w:val="2"/>
      <w:sz w:val="18"/>
      <w:szCs w:val="18"/>
    </w:rPr>
  </w:style>
  <w:style w:type="character" w:customStyle="1" w:styleId="9">
    <w:name w:val="页脚 字符"/>
    <w:link w:val="3"/>
    <w:qFormat/>
    <w:uiPriority w:val="99"/>
    <w:rPr>
      <w:rFonts w:ascii="Times New Roman" w:hAnsi="Times New Roman"/>
      <w:kern w:val="2"/>
      <w:sz w:val="18"/>
      <w:szCs w:val="18"/>
    </w:rPr>
  </w:style>
  <w:style w:type="character" w:customStyle="1" w:styleId="10">
    <w:name w:val="页眉 字符"/>
    <w:link w:val="4"/>
    <w:qFormat/>
    <w:uiPriority w:val="99"/>
    <w:rPr>
      <w:rFonts w:ascii="Times New Roman" w:hAnsi="Times New Roman"/>
      <w:kern w:val="2"/>
      <w:sz w:val="18"/>
      <w:szCs w:val="18"/>
    </w:rPr>
  </w:style>
  <w:style w:type="paragraph" w:styleId="11">
    <w:name w:val="List Paragraph"/>
    <w:basedOn w:val="1"/>
    <w:qFormat/>
    <w:uiPriority w:val="34"/>
    <w:pPr>
      <w:ind w:firstLine="420" w:firstLineChars="200"/>
    </w:pPr>
  </w:style>
  <w:style w:type="paragraph" w:styleId="12">
    <w:name w:val="No Spacing"/>
    <w:link w:val="13"/>
    <w:qFormat/>
    <w:uiPriority w:val="0"/>
    <w:rPr>
      <w:rFonts w:ascii="Calibri" w:hAnsi="Calibri" w:eastAsia="宋体" w:cs="Times New Roman"/>
      <w:sz w:val="22"/>
      <w:szCs w:val="22"/>
      <w:lang w:val="en-US" w:eastAsia="zh-CN" w:bidi="ar-SA"/>
    </w:rPr>
  </w:style>
  <w:style w:type="character" w:customStyle="1" w:styleId="13">
    <w:name w:val="无间隔 字符"/>
    <w:link w:val="12"/>
    <w:qFormat/>
    <w:uiPriority w:val="0"/>
    <w:rPr>
      <w:sz w:val="22"/>
      <w:szCs w:val="22"/>
      <w:lang w:bidi="ar-SA"/>
    </w:rPr>
  </w:style>
  <w:style w:type="paragraph" w:customStyle="1" w:styleId="14">
    <w:name w:val="正文1"/>
    <w:basedOn w:val="1"/>
    <w:qFormat/>
    <w:uiPriority w:val="0"/>
    <w:pPr>
      <w:widowControl/>
    </w:pPr>
    <w:rPr>
      <w:rFonts w:eastAsia="Times New Roman"/>
      <w:kern w:val="0"/>
      <w:lang w:val="zh-CN"/>
    </w:rPr>
  </w:style>
  <w:style w:type="character" w:customStyle="1" w:styleId="15">
    <w:name w:val="font1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8431</Words>
  <Characters>10213</Characters>
  <Lines>85</Lines>
  <Paragraphs>24</Paragraphs>
  <TotalTime>51</TotalTime>
  <ScaleCrop>false</ScaleCrop>
  <LinksUpToDate>false</LinksUpToDate>
  <CharactersWithSpaces>10327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2017-12-15T17:02:00Z</dcterms:created>
  <dc:creator>王炜(部门内部人)</dc:creator>
  <cp:lastModifiedBy>上官瑞</cp:lastModifiedBy>
  <cp:lastPrinted>2021-01-31T19:43:00Z</cp:lastPrinted>
  <dcterms:modified xsi:type="dcterms:W3CDTF">2023-06-07T02:26:52Z</dcterms:modified>
  <dc:title>×××部门</dc:title>
  <cp:revision>402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16DDD06101A443AFBD5E38C7A6309938_13</vt:lpwstr>
  </property>
</Properties>
</file>