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2"/>
              <w:rPr>
                <w:rFonts w:ascii="仿宋_GB2312" w:hAnsi="Cambria" w:eastAsia="仿宋_GB2312"/>
                <w:caps/>
                <w:sz w:val="28"/>
                <w:szCs w:val="28"/>
              </w:rPr>
            </w:pPr>
          </w:p>
        </w:tc>
      </w:tr>
      <w:tr>
        <w:trPr>
          <w:trHeight w:val="1440" w:hRule="atLeast"/>
          <w:jc w:val="center"/>
        </w:trPr>
        <w:tc>
          <w:tcPr>
            <w:tcW w:w="5000" w:type="pct"/>
            <w:tcBorders>
              <w:bottom w:val="single" w:color="4F81BD" w:sz="4" w:space="0"/>
            </w:tcBorders>
            <w:vAlign w:val="center"/>
          </w:tcPr>
          <w:p>
            <w:pPr>
              <w:pStyle w:val="12"/>
              <w:jc w:val="center"/>
              <w:rPr>
                <w:rFonts w:ascii="Cambria" w:hAnsi="Cambria"/>
                <w:b/>
                <w:sz w:val="80"/>
                <w:szCs w:val="80"/>
              </w:rPr>
            </w:pPr>
            <w:r>
              <w:rPr>
                <w:rFonts w:hint="eastAsia" w:ascii="Cambria" w:hAnsi="Cambria"/>
                <w:b/>
                <w:sz w:val="80"/>
                <w:szCs w:val="80"/>
              </w:rPr>
              <w:t>湟源县文体旅游局（本级）</w:t>
            </w:r>
          </w:p>
        </w:tc>
      </w:tr>
      <w:tr>
        <w:trPr>
          <w:trHeight w:val="720" w:hRule="atLeast"/>
          <w:jc w:val="center"/>
        </w:trPr>
        <w:tc>
          <w:tcPr>
            <w:tcW w:w="5000" w:type="pct"/>
            <w:tcBorders>
              <w:top w:val="single" w:color="4F81BD" w:sz="4" w:space="0"/>
            </w:tcBorders>
            <w:vAlign w:val="center"/>
          </w:tcPr>
          <w:p>
            <w:pPr>
              <w:pStyle w:val="12"/>
              <w:jc w:val="center"/>
              <w:rPr>
                <w:rFonts w:ascii="Cambria" w:hAnsi="Cambria"/>
                <w:sz w:val="44"/>
                <w:szCs w:val="44"/>
              </w:rPr>
            </w:pPr>
          </w:p>
        </w:tc>
      </w:tr>
      <w:tr>
        <w:trPr>
          <w:trHeight w:val="360" w:hRule="atLeast"/>
          <w:jc w:val="center"/>
        </w:trPr>
        <w:tc>
          <w:tcPr>
            <w:tcW w:w="5000" w:type="pct"/>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2"/>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一</w:t>
      </w:r>
      <w:r>
        <w:rPr>
          <w:rFonts w:hint="eastAsia" w:ascii="仿宋_GB2312" w:eastAsia="仿宋_GB2312"/>
          <w:sz w:val="32"/>
          <w:szCs w:val="32"/>
        </w:rPr>
        <w:t>）贯彻执行国家和省市县有关文化、旅游、体育的方针政策和法律法规；拟订县文化、旅游、体育发展规划并组织实施。</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）负责管理文化市场和旅游市场;负责文化旅游市场执法、文化交流和文化宣传工作。</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）负责非物质文化遗产保护规划工作并组织实施；负责非物质文化遗产保护和优秀民族民间文化的传承普及工作;负责文物管理和保护。</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）负责推动文化艺术、社会文化事业的发展；负责指导、协调文化产业发展；负责指导艺术创作与生产、图书馆、文化馆（站）事业和基层文化建设；负责组织和管理重大文化活动；监督指导文化旅游活动。</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）负责旅游整体形象宣传和重大推广营销活动；负责文化旅游与相关产业融合；指导、扶持重点旅游产品开发、策划，宣传重点旅游景区、景点和精品旅游线路。</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负责旅游资源的普查、评估、规划、开发，建立旅游资源档案；负责拟订旅游资源保护方案并组织实施；编制和建立旅游基础设施建设项目库；负责旅游基础设施建设项目的实施；推进旅游休闲度假体系建设，分析旅游经济运行；负责旅游统计和信息发布。</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承担规范旅游市场秩序、监督管理旅游服务质量、维护旅游消费者和经营者合法权益的责任；负责规范旅游企业和从业人员的经营和服务行为；建立健全旅游综合协调机制；完善旅游市场投诉和旅游安全保障机制；负责旅游安全的综合协调和监督管理；执行旅游区、旅游设施、旅游服务、旅游产品等方面的标准。</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）负责指导文化、旅游、体育行业精神文明建设和诚信体系建设。</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）负责旅游从业人员的培训工作；执行旅游从业人员的职业资格标准和等级标准；承担旅游信息化相关工作。</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）统筹规划群众体育发展；负责推行全民健身计划，开展群众性体育活动；推动国民体质监测和社会体育指导工作；负责对公共体育设施的监督管理；负责体育彩票销售工作。</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十一</w:t>
      </w:r>
      <w:r>
        <w:rPr>
          <w:rFonts w:hint="eastAsia" w:ascii="仿宋_GB2312" w:eastAsia="仿宋_GB2312"/>
          <w:sz w:val="32"/>
          <w:szCs w:val="32"/>
        </w:rPr>
        <w:t>）统筹规划社会青少年体育发展；负责推进青少年体育工作。</w:t>
      </w:r>
    </w:p>
    <w:p>
      <w:pPr>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十二</w:t>
      </w:r>
      <w:r>
        <w:rPr>
          <w:rFonts w:hint="eastAsia" w:ascii="仿宋_GB2312" w:eastAsia="仿宋_GB2312"/>
          <w:sz w:val="32"/>
          <w:szCs w:val="32"/>
        </w:rPr>
        <w:t>）完成县委、县政府交办的其他任务。</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rPr>
      </w:pPr>
      <w:r>
        <w:rPr>
          <w:rFonts w:hint="eastAsia" w:ascii="仿宋_GB2312" w:eastAsia="仿宋_GB2312"/>
          <w:sz w:val="32"/>
          <w:szCs w:val="32"/>
        </w:rPr>
        <w:t>（一）2023年度预算编制范围包括二级预算单位1个。</w:t>
      </w:r>
    </w:p>
    <w:p>
      <w:pPr>
        <w:ind w:firstLine="640" w:firstLineChars="200"/>
        <w:rPr>
          <w:rFonts w:hint="eastAsia" w:ascii="仿宋_GB2312" w:eastAsia="仿宋_GB2312"/>
          <w:sz w:val="32"/>
          <w:szCs w:val="32"/>
        </w:rPr>
      </w:pPr>
      <w:r>
        <w:rPr>
          <w:rFonts w:hint="eastAsia" w:ascii="仿宋_GB2312" w:eastAsia="仿宋_GB2312"/>
          <w:sz w:val="32"/>
          <w:szCs w:val="32"/>
        </w:rPr>
        <w:t>（二）2023年编制人数13人，实有人数10人，其中：事业人员5人、公务员5人，政府临聘4人。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u w:val="single"/>
        </w:rPr>
      </w:pPr>
      <w:r>
        <w:rPr>
          <w:rFonts w:hint="eastAsia" w:ascii="仿宋_GB2312" w:eastAsia="仿宋_GB2312"/>
          <w:sz w:val="32"/>
          <w:szCs w:val="32"/>
        </w:rPr>
        <w:t>纳入湟源县文体旅游局</w:t>
      </w:r>
      <w:r>
        <w:rPr>
          <w:rFonts w:hint="eastAsia" w:ascii="仿宋_GB2312" w:eastAsia="仿宋_GB2312"/>
          <w:sz w:val="32"/>
          <w:szCs w:val="32"/>
          <w:lang w:eastAsia="zh-CN"/>
        </w:rPr>
        <w:t>（</w:t>
      </w:r>
      <w:r>
        <w:rPr>
          <w:rFonts w:hint="eastAsia" w:ascii="仿宋_GB2312" w:eastAsia="仿宋_GB2312"/>
          <w:sz w:val="32"/>
          <w:szCs w:val="32"/>
          <w:lang w:val="en-US" w:eastAsia="zh-CN"/>
        </w:rPr>
        <w:t>本级</w:t>
      </w:r>
      <w:r>
        <w:rPr>
          <w:rFonts w:hint="eastAsia" w:ascii="仿宋_GB2312" w:eastAsia="仿宋_GB2312"/>
          <w:sz w:val="32"/>
          <w:szCs w:val="32"/>
          <w:lang w:eastAsia="zh-CN"/>
        </w:rPr>
        <w:t>）</w:t>
      </w:r>
      <w:r>
        <w:rPr>
          <w:rFonts w:hint="eastAsia" w:ascii="仿宋_GB2312" w:eastAsia="仿宋_GB2312"/>
          <w:sz w:val="32"/>
          <w:szCs w:val="32"/>
        </w:rPr>
        <w:t>2023年部门预算编制范围的二级预算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1016.79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1644.55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67.56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28.66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19.47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1016.79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1760.23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743.44</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1760.23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1760.23</w:t>
            </w:r>
          </w:p>
        </w:tc>
      </w:tr>
    </w:tbl>
    <w:p>
      <w:pPr>
        <w:rPr>
          <w:rFonts w:ascii="仿宋_GB2312" w:eastAsia="仿宋_GB2312"/>
          <w:sz w:val="32"/>
          <w:szCs w:val="32"/>
        </w:rPr>
      </w:pPr>
    </w:p>
    <w:tbl>
      <w:tblPr>
        <w:tblStyle w:val="5"/>
        <w:tblpPr w:leftFromText="180" w:rightFromText="180" w:vertAnchor="text" w:horzAnchor="page" w:tblpXSpec="center" w:tblpY="618"/>
        <w:tblOverlap w:val="never"/>
        <w:tblW w:w="11507" w:type="dxa"/>
        <w:jc w:val="center"/>
        <w:tblLayout w:type="fixed"/>
        <w:tblCellMar>
          <w:top w:w="0" w:type="dxa"/>
          <w:left w:w="108" w:type="dxa"/>
          <w:bottom w:w="0" w:type="dxa"/>
          <w:right w:w="108" w:type="dxa"/>
        </w:tblCellMar>
      </w:tblPr>
      <w:tblGrid>
        <w:gridCol w:w="1000"/>
        <w:gridCol w:w="1027"/>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507"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0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07"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1760.23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743.44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1016.79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湟源县文体旅游局</w:t>
            </w:r>
          </w:p>
        </w:tc>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1760.23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743.44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1016.79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湟源县文体旅游局（本级）</w:t>
            </w:r>
          </w:p>
        </w:tc>
        <w:tc>
          <w:tcPr>
            <w:tcW w:w="102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1760.23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743.44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1016.79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381" w:type="dxa"/>
        <w:jc w:val="center"/>
        <w:tblLayout w:type="fixed"/>
        <w:tblCellMar>
          <w:top w:w="0" w:type="dxa"/>
          <w:left w:w="108" w:type="dxa"/>
          <w:bottom w:w="0" w:type="dxa"/>
          <w:right w:w="108" w:type="dxa"/>
        </w:tblCellMar>
      </w:tblPr>
      <w:tblGrid>
        <w:gridCol w:w="1100"/>
        <w:gridCol w:w="3806"/>
        <w:gridCol w:w="1079"/>
        <w:gridCol w:w="1079"/>
        <w:gridCol w:w="1079"/>
        <w:gridCol w:w="1079"/>
        <w:gridCol w:w="1079"/>
        <w:gridCol w:w="1080"/>
      </w:tblGrid>
      <w:tr>
        <w:tblPrEx>
          <w:tblCellMar>
            <w:top w:w="0" w:type="dxa"/>
            <w:left w:w="108" w:type="dxa"/>
            <w:bottom w:w="0" w:type="dxa"/>
            <w:right w:w="108" w:type="dxa"/>
          </w:tblCellMar>
        </w:tblPrEx>
        <w:trPr>
          <w:trHeight w:val="187" w:hRule="atLeast"/>
          <w:jc w:val="center"/>
        </w:trPr>
        <w:tc>
          <w:tcPr>
            <w:tcW w:w="1138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8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81"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0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1760.23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337.53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1422.70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文化旅游体育与传媒支出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1644.55</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221.84</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1422.70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文化和旅游</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563.01</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191.91</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371.10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2070101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104.50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104.50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2070111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文化创作与保护</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66.10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66.10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2070112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文化和旅游市场管理</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92.41</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87.41</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2070199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其他文化和旅游支出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300.00</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文物</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66.86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66.86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2070205</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博物馆</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66.86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66.86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其他文化旅游体育与传媒支出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1014.67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29.93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984.74</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2079999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其他文化旅游体育与传媒支出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1014.67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29.93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984.74</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67.56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67.56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66.79</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66.79</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20.77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10.39</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10.39</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35.63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35.63</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28.66</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15.25</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15.25</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3.84</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3.84</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0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19.47</w:t>
            </w: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5"/>
        <w:tblpPr w:leftFromText="180" w:rightFromText="180" w:vertAnchor="text" w:horzAnchor="page" w:tblpXSpec="center" w:tblpY="183"/>
        <w:tblOverlap w:val="never"/>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084"/>
        <w:gridCol w:w="1751"/>
        <w:gridCol w:w="1230"/>
        <w:gridCol w:w="1275"/>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2"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0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3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3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41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1016.79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3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1760.23</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1760.23</w:t>
            </w: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1016.79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3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1644.55</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1644.55</w:t>
            </w: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3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67.56</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67.56</w:t>
            </w: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3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28.66</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28.66</w:t>
            </w: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3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743.44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743.44</w:t>
            </w:r>
          </w:p>
        </w:tc>
        <w:tc>
          <w:tcPr>
            <w:tcW w:w="1751" w:type="dxa"/>
            <w:shd w:val="clear" w:color="auto" w:fill="FFFFFF"/>
            <w:noWrap/>
            <w:vAlign w:val="center"/>
          </w:tcPr>
          <w:p>
            <w:pPr>
              <w:widowControl/>
              <w:jc w:val="left"/>
              <w:rPr>
                <w:rFonts w:ascii="宋体" w:hAnsi="宋体" w:cs="宋体"/>
                <w:kern w:val="0"/>
                <w:sz w:val="20"/>
              </w:rPr>
            </w:pP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30" w:type="dxa"/>
            <w:shd w:val="clear" w:color="auto" w:fill="FFFFFF"/>
            <w:noWrap/>
            <w:vAlign w:val="center"/>
          </w:tcPr>
          <w:p>
            <w:pPr>
              <w:widowControl/>
              <w:jc w:val="center"/>
              <w:rPr>
                <w:rFonts w:ascii="宋体" w:hAnsi="宋体" w:cs="宋体"/>
                <w:kern w:val="0"/>
                <w:sz w:val="20"/>
              </w:rPr>
            </w:pPr>
          </w:p>
        </w:tc>
        <w:tc>
          <w:tcPr>
            <w:tcW w:w="1275" w:type="dxa"/>
            <w:shd w:val="clear" w:color="auto" w:fill="FFFFFF"/>
            <w:noWrap/>
            <w:vAlign w:val="center"/>
          </w:tcPr>
          <w:p>
            <w:pPr>
              <w:widowControl/>
              <w:jc w:val="center"/>
              <w:rPr>
                <w:rFonts w:ascii="宋体" w:hAnsi="宋体" w:cs="宋体"/>
                <w:kern w:val="0"/>
                <w:sz w:val="20"/>
              </w:rPr>
            </w:pPr>
          </w:p>
        </w:tc>
        <w:tc>
          <w:tcPr>
            <w:tcW w:w="1414"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1760.23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3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1760.23</w:t>
            </w:r>
          </w:p>
        </w:tc>
        <w:tc>
          <w:tcPr>
            <w:tcW w:w="12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1760.23</w:t>
            </w:r>
          </w:p>
        </w:tc>
        <w:tc>
          <w:tcPr>
            <w:tcW w:w="1414" w:type="dxa"/>
            <w:shd w:val="clear" w:color="auto" w:fill="FFFFFF"/>
            <w:noWrap/>
            <w:vAlign w:val="center"/>
          </w:tcPr>
          <w:p>
            <w:pPr>
              <w:widowControl/>
              <w:jc w:val="center"/>
              <w:rPr>
                <w:rFonts w:ascii="宋体" w:hAnsi="宋体" w:cs="宋体"/>
                <w:kern w:val="0"/>
                <w:sz w:val="20"/>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82"/>
        <w:gridCol w:w="1459"/>
        <w:gridCol w:w="1459"/>
        <w:gridCol w:w="146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3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7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3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1016.79</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337.53</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679.26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207</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文化旅游体育与传媒支出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901.10</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221.84</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679.26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文化和旅游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496.91</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191.91</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104.50</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104.50</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文化和旅游市场管理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92.41</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87.41</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其他文化和旅游支出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文物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47.00</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博物馆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47.00</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其他文化旅游体育与传媒支出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357.19</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29.93</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327.26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其他文化旅游体育与传媒支出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357.19</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29.93</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327.26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67.56</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67.56</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66.79</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66.79</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20.77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20.77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10.39</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10.39</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35.63</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35.63</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0.77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28.66</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28.66</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28.66</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28.66</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15.25</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15.25</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3.84</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3.84</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9.57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9.57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5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19.47</w:t>
            </w:r>
          </w:p>
        </w:tc>
        <w:tc>
          <w:tcPr>
            <w:tcW w:w="14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5"/>
        <w:tblW w:w="11245" w:type="dxa"/>
        <w:tblInd w:w="-1064" w:type="dxa"/>
        <w:tblLayout w:type="fixed"/>
        <w:tblCellMar>
          <w:top w:w="0" w:type="dxa"/>
          <w:left w:w="108" w:type="dxa"/>
          <w:bottom w:w="0" w:type="dxa"/>
          <w:right w:w="108" w:type="dxa"/>
        </w:tblCellMar>
      </w:tblPr>
      <w:tblGrid>
        <w:gridCol w:w="650"/>
        <w:gridCol w:w="650"/>
        <w:gridCol w:w="3006"/>
        <w:gridCol w:w="2313"/>
        <w:gridCol w:w="2313"/>
        <w:gridCol w:w="2313"/>
      </w:tblGrid>
      <w:tr>
        <w:tblPrEx>
          <w:tblCellMar>
            <w:top w:w="0" w:type="dxa"/>
            <w:left w:w="108" w:type="dxa"/>
            <w:bottom w:w="0" w:type="dxa"/>
            <w:right w:w="108" w:type="dxa"/>
          </w:tblCellMar>
        </w:tblPrEx>
        <w:trPr>
          <w:trHeight w:val="264" w:hRule="atLeast"/>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trPr>
        <w:tc>
          <w:tcPr>
            <w:tcW w:w="43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trPr>
        <w:tc>
          <w:tcPr>
            <w:tcW w:w="4306"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337.53</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322.14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15.38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275.21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275.21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47.24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47.24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60.88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60.88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31.96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31.96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36.44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36.44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20.77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20.77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10.39</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10.39</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7.78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19.47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19.47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29.93</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29.93</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15.38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15.38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1.32</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1.32</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1.08</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0.36</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2.39</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2.39</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5.24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5.24</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1.35</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1.35</w:t>
            </w: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46.94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46.94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3.27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11.31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11.31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1.33</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0.33</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0.36</w:t>
            </w:r>
          </w:p>
        </w:tc>
      </w:tr>
    </w:tbl>
    <w:p>
      <w:pPr>
        <w:rPr>
          <w:rFonts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一、关于湟源县文体旅游局（本级）2023年部门收支预算情况的总体说明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文体旅游局（本级）所有收入和支出均纳入部门预算管理。收入包括：一般公共预算拨款收入1016.79万元，上年结转743.44万元；支出包括：文化旅游体育与传媒支出1644.55万元，社会保障和就业支出67.56万元，卫生健康支出28.66万元，住房保障支出19.47万元。湟源县文体旅游局（本级）2023年收支总预算1760.23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二、关于湟源县文体旅游局（本级）2023年部门收入预算情况说明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湟源县文体旅游局（本级）2023年收入预算1760.23万元，其中：上年结转743.44万元，占42.24%；一般公共预算拨款收入1016.79万元，占57.76%。</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61.25pt;width:350.25pt;" filled="f" o:preferrelative="t" stroked="f" coordsize="21600,21600">
            <v:path/>
            <v:fill on="f" focussize="0,0"/>
            <v:stroke on="f" joinstyle="miter"/>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三、关于湟源县文体旅游局（本级）2023年部门支出预算情况说明</w:t>
      </w:r>
    </w:p>
    <w:p>
      <w:pPr>
        <w:ind w:firstLine="645"/>
        <w:rPr>
          <w:rFonts w:ascii="仿宋_GB2312" w:eastAsia="仿宋_GB2312"/>
          <w:sz w:val="32"/>
          <w:szCs w:val="32"/>
        </w:rPr>
      </w:pPr>
      <w:r>
        <w:rPr>
          <w:rFonts w:hint="eastAsia" w:ascii="仿宋_GB2312" w:eastAsia="仿宋_GB2312"/>
          <w:sz w:val="32"/>
          <w:szCs w:val="32"/>
        </w:rPr>
        <w:t>湟源县文体旅游局（本级）2023年支出预算1760.23万元，其中：基本支出337.53万元，占19.18%；项目支出1422.70万元，占80.82%。</w:t>
      </w:r>
    </w:p>
    <w:p>
      <w:pPr>
        <w:ind w:firstLine="645"/>
        <w:rPr>
          <w:rFonts w:ascii="仿宋_GB2312" w:eastAsia="仿宋_GB2312"/>
          <w:sz w:val="32"/>
          <w:szCs w:val="32"/>
        </w:rPr>
      </w:pPr>
      <w:r>
        <w:rPr>
          <w:rFonts w:ascii="仿宋_GB2312" w:eastAsia="仿宋_GB2312"/>
          <w:sz w:val="32"/>
          <w:szCs w:val="32"/>
        </w:rPr>
        <w:pict>
          <v:shape id="_x0000_i1026" o:spt="75" type="#_x0000_t75" style="height:159.4pt;width:346.5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四、关于湟源县文体旅游局（本级）2023年财政拨款收支预算情况的总体说明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文体旅游局（本级）2023年财政拨款收支总预算1760.23万元，比上年增加699.81万元，主要是2023年增加专项资金。收入包括：一般公共预算拨款收入1016.79万元，上年结转743.44万元；政府性基金预算拨款收入0.00万元，上年结转0.00万元。支出包括： 文化旅游体育与传媒支出1644.55万元， 社会保障和就业支出67.56万元， 卫生健康支出28.66万元， 住房保障支出19.47万元。</w:t>
      </w:r>
    </w:p>
    <w:p>
      <w:pPr>
        <w:ind w:firstLine="645"/>
        <w:rPr>
          <w:rFonts w:ascii="仿宋_GB2312" w:eastAsia="仿宋_GB2312"/>
          <w:sz w:val="32"/>
          <w:szCs w:val="32"/>
        </w:rPr>
      </w:pPr>
      <w:r>
        <w:rPr>
          <w:rFonts w:ascii="仿宋_GB2312" w:eastAsia="仿宋_GB2312"/>
          <w:sz w:val="32"/>
          <w:szCs w:val="32"/>
        </w:rPr>
        <w:pict>
          <v:shape id="_x0000_i1027" o:spt="75" type="#_x0000_t75" style="height:160.15pt;width:347.65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五、关于湟源县文体旅游局（本级）2023年一般公共预算当年拨款情况说明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湟源县文体旅游局（本级）2023年一般公共预算当年拨款1016.79万元,比上年增加194.63万元，主要是人员经费增加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pict>
          <v:shape id="_x0000_i1028" o:spt="75" type="#_x0000_t75" style="height:110.65pt;width:322.9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文化旅游体育与传媒支出901.10万元，占88.62%；社会保障和就业支出67.56万元，占6.64%；卫生健康支出28.66万元，占2.82%；住房保障支出19.47万元，占1.91%。</w:t>
      </w:r>
    </w:p>
    <w:p>
      <w:pPr>
        <w:ind w:firstLine="645"/>
        <w:rPr>
          <w:rFonts w:ascii="仿宋_GB2312" w:eastAsia="仿宋_GB2312"/>
          <w:sz w:val="32"/>
          <w:szCs w:val="32"/>
        </w:rPr>
      </w:pPr>
      <w:r>
        <w:rPr>
          <w:rFonts w:ascii="仿宋_GB2312" w:eastAsia="仿宋_GB2312"/>
          <w:sz w:val="32"/>
          <w:szCs w:val="32"/>
        </w:rPr>
        <w:pict>
          <v:shape id="_x0000_i1029" o:spt="75" type="#_x0000_t75" style="height:170.65pt;width:370.9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1、文化旅游体育与传媒支出（类）文化和旅游（款）行政运行（项）2023年预算数为104.50万元，比上年减少301.75万元，下降74.28%。主要是</w:t>
      </w:r>
      <w:bookmarkStart w:id="6" w:name="_Hlk136978580"/>
      <w:r>
        <w:rPr>
          <w:rFonts w:hint="eastAsia" w:ascii="仿宋_GB2312" w:eastAsia="仿宋_GB2312"/>
          <w:sz w:val="32"/>
          <w:szCs w:val="32"/>
        </w:rPr>
        <w:t>功能款项调整</w:t>
      </w:r>
      <w:bookmarkEnd w:id="6"/>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2、文化旅游体育与传媒支出（类）文化和旅游（款）文化创作与保护（项）2023年预算数为0.00万元，比上年减少10.00万元，下降100.00%。主要是市级专项资金减少。</w:t>
      </w:r>
    </w:p>
    <w:p>
      <w:pPr>
        <w:ind w:firstLine="645"/>
        <w:rPr>
          <w:rFonts w:hint="eastAsia" w:ascii="仿宋_GB2312" w:eastAsia="仿宋_GB2312"/>
          <w:sz w:val="32"/>
          <w:szCs w:val="32"/>
        </w:rPr>
      </w:pPr>
      <w:r>
        <w:rPr>
          <w:rFonts w:hint="eastAsia" w:ascii="仿宋_GB2312" w:eastAsia="仿宋_GB2312"/>
          <w:sz w:val="32"/>
          <w:szCs w:val="32"/>
        </w:rPr>
        <w:t>3、文化旅游体育与传媒支出（类）文化和旅游（款）文化和旅游市场管理（项）2023年预算数为92.41万元，比上年增加25.72万元，增长38.57%。主要是功能款项调整。</w:t>
      </w:r>
    </w:p>
    <w:p>
      <w:pPr>
        <w:ind w:firstLine="645"/>
        <w:rPr>
          <w:rFonts w:hint="eastAsia" w:ascii="仿宋_GB2312" w:eastAsia="仿宋_GB2312"/>
          <w:sz w:val="32"/>
          <w:szCs w:val="32"/>
        </w:rPr>
      </w:pPr>
      <w:r>
        <w:rPr>
          <w:rFonts w:hint="eastAsia" w:ascii="仿宋_GB2312" w:eastAsia="仿宋_GB2312"/>
          <w:sz w:val="32"/>
          <w:szCs w:val="32"/>
        </w:rPr>
        <w:t>4、文化旅游体育与传媒支出（类）文化和旅游（款）其他文化和旅游支出（项）2023年预算数为300.00万元，比上年增加300.00万元，增长100.00%。主要是文化旅游类项目增加。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5、文化旅游体育与传媒支出（类）文物（款）博物馆（项）2023年预算数为47.00万元，比上年增加0.00万元，增长0.00%。</w:t>
      </w:r>
      <w:r>
        <w:rPr>
          <w:rFonts w:hint="eastAsia" w:ascii="仿宋_GB2312" w:eastAsia="仿宋_GB2312"/>
          <w:sz w:val="32"/>
          <w:szCs w:val="32"/>
          <w:lang w:val="en-US" w:eastAsia="zh-CN"/>
        </w:rPr>
        <w:t>与上年持平。</w:t>
      </w:r>
    </w:p>
    <w:p>
      <w:pPr>
        <w:ind w:firstLine="645"/>
        <w:rPr>
          <w:rFonts w:hint="eastAsia" w:ascii="仿宋_GB2312" w:eastAsia="仿宋_GB2312"/>
          <w:sz w:val="32"/>
          <w:szCs w:val="32"/>
        </w:rPr>
      </w:pPr>
      <w:r>
        <w:rPr>
          <w:rFonts w:hint="eastAsia" w:ascii="仿宋_GB2312" w:eastAsia="仿宋_GB2312"/>
          <w:sz w:val="32"/>
          <w:szCs w:val="32"/>
        </w:rPr>
        <w:t>6、文化旅游体育与传媒支出（类）其他文化旅游体育与传媒支出（款）其他文化旅游体育与传媒支出（项）2023年预算数为357.19万元，比上年增加157.43万元，增长78.81%。主要是功能款项调整，文化旅游类项目资金增加。</w:t>
      </w:r>
    </w:p>
    <w:p>
      <w:pPr>
        <w:ind w:firstLine="645"/>
        <w:rPr>
          <w:rFonts w:hint="eastAsia" w:ascii="仿宋_GB2312" w:eastAsia="仿宋_GB2312"/>
          <w:sz w:val="32"/>
          <w:szCs w:val="32"/>
        </w:rPr>
      </w:pPr>
      <w:r>
        <w:rPr>
          <w:rFonts w:hint="eastAsia" w:ascii="仿宋_GB2312" w:eastAsia="仿宋_GB2312"/>
          <w:sz w:val="32"/>
          <w:szCs w:val="32"/>
        </w:rPr>
        <w:t>7、社会保障和就业支出（类）行政事业单位养老支出（款）机关事业单位基本养老保险缴费支出（项）2023年预算数为20.77万元，比上年增加7.01万元，增长50.94%。主要是缴费基数调整，经费增加。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8、社会保障和就业支出（类）行政事业单位养老支出（款）机关事业单位职业年金缴费支出（项）2023年预算数为10.39万元，比上年增加3.51万元，增长51.02%。主要是缴费基数调整，经费增加。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9、社会保障和就业支出（类）行政事业单位养老支出（款）其他行政事业单位养老支出（项）2023年预算数为35.63万元，比上年增加2.18万元，增长6.52%。主要是缴费基数调整，经费增加。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10、社会保障和就业支出（类）其他社会保障和就业支出（款）其他社会保障和就业支出（项）2023年预算数为0.77万元，比上年增加0.12万元，增长18.46%。主要是缴费基数调整，经费增加。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11、卫生健康支出（类）行政事业单位医疗（款）行政单位医疗（项）2023年预算数为15.25万元，比上年增加1.41万元，增长10.19%。主要是缴费基数调整，经费增加。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12、卫生健康支出（类）行政事业单位医疗（款）事业单位医疗（项）2023年预算数为3.84万元，比上年增加0.75万元，增长24.27%。主要是缴费基数调整，经费增加。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13、卫生健康支出（类）行政事业单位医疗（款）公务员医疗补助（项）2023年预算数为9.57万元，比上年增加1.26万元，增长15.16%。主要是缴费基数调整，经费增加。</w:t>
      </w:r>
    </w:p>
    <w:p>
      <w:pPr>
        <w:ind w:firstLine="645"/>
        <w:rPr>
          <w:rFonts w:hint="eastAsia" w:ascii="仿宋_GB2312" w:eastAsia="仿宋_GB2312"/>
          <w:sz w:val="32"/>
          <w:szCs w:val="32"/>
        </w:rPr>
      </w:pPr>
      <w:r>
        <w:rPr>
          <w:rFonts w:hint="eastAsia" w:ascii="仿宋_GB2312" w:eastAsia="仿宋_GB2312"/>
          <w:sz w:val="32"/>
          <w:szCs w:val="32"/>
        </w:rPr>
        <w:t>14、住房保障支出（类）住房改革支出（款）住房公积金（项）2023年预算数为19.47万元，比上年增加6.99万元，增长56.01%。主要是缴费基数调整，经费增加。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湟源县文体旅游局（本级）2023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湟源县文体旅游局（本级）2023年一般公共预算基本支出337.53万元，其中：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322.14万元，主要包括：基本工资47.24万元、津贴补贴60.88万元、奖金31.96万元、绩效工资36.44万元、机关事业单位基本养老保险缴费20.77万元、职业年金缴费10.39万元、职工基本医疗保险缴费7.78万元、公务员医疗补助缴费9.57万元、其他社会保障缴费0.77万元、住房公积金19.47万元、其他工资福利支出29.93万元、退休费32.36万元、生活补助3.27万元、医疗费补助11.31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15.38万元，主要包括：办公费1.32万元、水费0.24万元、电费0.24万元、邮电费0.96万元、取暖费1.20万元、差旅费1.08万元、公务接待费0.36万元、工会经费2.39万元、公务用车运行维护费1.00万元、其他交通费用5.24万元、其他商品和服务支出1.35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湟源县文体旅游局（本级）2023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rPr>
        <w:t>湟源县文体旅游局（本级）2023年一般公共预算“三公”经费预算数为1.36万元，比上年增加0.03万元，其中：因公出国（境）费0.00万元，增加0.00万元；公务用车购置及运行费1.00万元，增加0.00万元；公务接待费0.36万元，增加0.03万元。2023年“三公”经费预算比上年增加主要是公务接待量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湟源县文体旅游局（本级）2023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湟源县文体旅游局（本级）2023年没有使用政府性基金预算拨款安排的支出。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Times New Roman" w:eastAsia="仿宋_GB2312" w:cs="Times New Roman"/>
          <w:kern w:val="2"/>
          <w:sz w:val="32"/>
          <w:szCs w:val="32"/>
          <w:lang w:val="en-US" w:eastAsia="zh-CN" w:bidi="ar-SA"/>
        </w:rPr>
      </w:pPr>
      <w:r>
        <w:rPr>
          <w:rFonts w:hint="eastAsia" w:ascii="仿宋_GB2312" w:hAnsi="仿宋" w:eastAsia="仿宋_GB2312"/>
          <w:spacing w:val="-6"/>
          <w:kern w:val="2"/>
          <w:sz w:val="32"/>
          <w:szCs w:val="32"/>
          <w:lang w:val="en-US"/>
        </w:rPr>
        <w:t>2023年湟源县文体旅游局（本级）机关运行经费财政拨款预算15.38万元，比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w:t>
      </w:r>
      <w:r>
        <w:rPr>
          <w:rFonts w:hint="eastAsia" w:ascii="仿宋_GB2312" w:hAnsi="Times New Roman" w:eastAsia="仿宋_GB2312" w:cs="Times New Roman"/>
          <w:kern w:val="2"/>
          <w:sz w:val="32"/>
          <w:szCs w:val="32"/>
          <w:lang w:val="en-US" w:eastAsia="zh-CN" w:bidi="ar-SA"/>
        </w:rPr>
        <w:t>算增加1.22万元，增长8.62%。主要是物价上涨、办公用房取暖费等增加。</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Times New Roman" w:eastAsia="仿宋_GB2312" w:cs="Times New Roman"/>
          <w:kern w:val="2"/>
          <w:sz w:val="32"/>
          <w:szCs w:val="32"/>
          <w:lang w:val="en-US" w:eastAsia="zh-CN" w:bidi="ar-SA"/>
        </w:rPr>
      </w:pPr>
      <w:bookmarkStart w:id="7" w:name="_GoBack"/>
      <w:r>
        <w:rPr>
          <w:rFonts w:hint="eastAsia" w:ascii="仿宋_GB2312" w:hAnsi="仿宋" w:eastAsia="仿宋_GB2312"/>
          <w:spacing w:val="-6"/>
          <w:kern w:val="2"/>
          <w:sz w:val="32"/>
          <w:szCs w:val="32"/>
          <w:lang w:val="en-US"/>
        </w:rPr>
        <w:t>2023年湟源县文体旅游局（本级）各单位政府采购预算总额</w:t>
      </w:r>
      <w:r>
        <w:rPr>
          <w:rFonts w:ascii="仿宋_GB2312" w:hAnsi="仿宋" w:eastAsia="仿宋_GB2312"/>
          <w:spacing w:val="-6"/>
          <w:kern w:val="2"/>
          <w:sz w:val="32"/>
          <w:szCs w:val="32"/>
          <w:lang w:val="en-US"/>
        </w:rPr>
        <w:t>0</w:t>
      </w:r>
      <w:r>
        <w:rPr>
          <w:rFonts w:hint="eastAsia" w:ascii="仿宋_GB2312" w:hAnsi="仿宋" w:eastAsia="仿宋_GB2312"/>
          <w:spacing w:val="-6"/>
          <w:kern w:val="2"/>
          <w:sz w:val="32"/>
          <w:szCs w:val="32"/>
          <w:lang w:val="en-US"/>
        </w:rPr>
        <w:t>万元</w:t>
      </w:r>
      <w:r>
        <w:rPr>
          <w:rFonts w:hint="eastAsia" w:ascii="仿宋_GB2312" w:hAnsi="Times New Roman" w:eastAsia="仿宋_GB2312" w:cs="Times New Roman"/>
          <w:kern w:val="2"/>
          <w:sz w:val="32"/>
          <w:szCs w:val="32"/>
          <w:lang w:val="en-US" w:eastAsia="zh-CN" w:bidi="ar-SA"/>
        </w:rPr>
        <w:t>，其中：政府采购货物预算0万元、政府采购工程预算0万元、政府采购服务预算0万元。</w:t>
      </w:r>
    </w:p>
    <w:bookmarkEnd w:id="7"/>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截至2023年2月底，湟源县文体旅游局（本级）所属各预算单位共有车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2023年湟源县文体旅游局（本级）预算均实行绩效目标管理，涉及项目7个，预算金额679.26万元。</w:t>
      </w:r>
    </w:p>
    <w:p>
      <w:pPr>
        <w:jc w:val="center"/>
        <w:rPr>
          <w:rFonts w:ascii="仿宋_GB2312" w:eastAsia="仿宋_GB2312"/>
          <w:b/>
          <w:sz w:val="32"/>
          <w:szCs w:val="32"/>
        </w:rPr>
      </w:pPr>
    </w:p>
    <w:tbl>
      <w:tblPr>
        <w:tblStyle w:val="5"/>
        <w:tblW w:w="10112" w:type="dxa"/>
        <w:jc w:val="center"/>
        <w:tblLayout w:type="fixed"/>
        <w:tblCellMar>
          <w:top w:w="0" w:type="dxa"/>
          <w:left w:w="108" w:type="dxa"/>
          <w:bottom w:w="0" w:type="dxa"/>
          <w:right w:w="108" w:type="dxa"/>
        </w:tblCellMar>
      </w:tblPr>
      <w:tblGrid>
        <w:gridCol w:w="1487"/>
        <w:gridCol w:w="1213"/>
        <w:gridCol w:w="1275"/>
        <w:gridCol w:w="975"/>
        <w:gridCol w:w="1012"/>
        <w:gridCol w:w="1375"/>
        <w:gridCol w:w="938"/>
        <w:gridCol w:w="937"/>
        <w:gridCol w:w="900"/>
      </w:tblGrid>
      <w:tr>
        <w:tblPrEx>
          <w:tblCellMar>
            <w:top w:w="0" w:type="dxa"/>
            <w:left w:w="108" w:type="dxa"/>
            <w:bottom w:w="0" w:type="dxa"/>
            <w:right w:w="108" w:type="dxa"/>
          </w:tblCellMar>
        </w:tblPrEx>
        <w:trPr>
          <w:trHeight w:val="420" w:hRule="atLeast"/>
          <w:jc w:val="center"/>
        </w:trPr>
        <w:tc>
          <w:tcPr>
            <w:tcW w:w="10112"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lang w:bidi="ar"/>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3975"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lang w:bidi="ar"/>
              </w:rPr>
              <w:t>预算年度：2023</w:t>
            </w:r>
          </w:p>
        </w:tc>
        <w:tc>
          <w:tcPr>
            <w:tcW w:w="97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012"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375"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38"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837"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金额单位：万元</w:t>
            </w:r>
          </w:p>
        </w:tc>
      </w:tr>
      <w:tr>
        <w:tblPrEx>
          <w:tblCellMar>
            <w:top w:w="0" w:type="dxa"/>
            <w:left w:w="108" w:type="dxa"/>
            <w:bottom w:w="0" w:type="dxa"/>
            <w:right w:w="108" w:type="dxa"/>
          </w:tblCellMar>
        </w:tblPrEx>
        <w:trPr>
          <w:trHeight w:val="28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项目名称</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批复数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绩效目标</w:t>
            </w:r>
          </w:p>
        </w:tc>
        <w:tc>
          <w:tcPr>
            <w:tcW w:w="33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绩效指标性质</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绩效指标值</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绩效度量单位</w:t>
            </w:r>
          </w:p>
        </w:tc>
      </w:tr>
      <w:tr>
        <w:tblPrEx>
          <w:tblCellMar>
            <w:top w:w="0" w:type="dxa"/>
            <w:left w:w="108" w:type="dxa"/>
            <w:bottom w:w="0" w:type="dxa"/>
            <w:right w:w="108" w:type="dxa"/>
          </w:tblCellMar>
        </w:tblPrEx>
        <w:trPr>
          <w:trHeight w:val="28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一级指标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二级指标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三级指标</w:t>
            </w: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图书馆文化馆（站）美术馆免费开放资金</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74.30</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　免费开放，让地方文化传承发展。</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免费开放质量</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服务群体</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两馆服务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博物馆纪念馆免费开放资金（含陈列布展）</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47.00</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　免费开放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开放天次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文化宣传</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文化人才专项经费</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97.20</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2023年文化人才专项经费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服务次数</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服务效果</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群众满意度</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中央支持地方公共文化服务体系建设（农村文化建设）补助资金</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81.76</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中央支持地方公共文化服务体系（农村文化建设）补助资金</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场次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场次</w:t>
            </w:r>
          </w:p>
        </w:tc>
      </w:tr>
      <w:tr>
        <w:tblPrEx>
          <w:tblCellMar>
            <w:top w:w="0" w:type="dxa"/>
            <w:left w:w="108" w:type="dxa"/>
            <w:bottom w:w="0" w:type="dxa"/>
            <w:right w:w="108" w:type="dxa"/>
          </w:tblCellMar>
        </w:tblPrEx>
        <w:trPr>
          <w:trHeight w:val="56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文艺演出</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群众满意度</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中央支持地方公共文化服务体系建设(重点项目)补助资金</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74.00</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通过为全省各乡镇配送演出，进一步丰富和活跃基层农牧民的精神文化生活。</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演出场次</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2082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场次</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丰富基层群众精神文化生活</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群众公共文化服务获得感</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56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文化活动及旅游发展经费</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300.00</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举办各类文旅活动及用于文化旅游发展经费。</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文化活动次数</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次</w:t>
            </w:r>
          </w:p>
        </w:tc>
      </w:tr>
      <w:tr>
        <w:tblPrEx>
          <w:tblCellMar>
            <w:top w:w="0" w:type="dxa"/>
            <w:left w:w="108" w:type="dxa"/>
            <w:bottom w:w="0" w:type="dxa"/>
            <w:right w:w="108" w:type="dxa"/>
          </w:tblCellMar>
        </w:tblPrEx>
        <w:trPr>
          <w:trHeight w:val="56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群众满意度</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280" w:hRule="atLeast"/>
          <w:jc w:val="center"/>
        </w:trPr>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综合执法经费</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5.00</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文化综合执法</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产出指标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数量指标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执法次数</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次</w:t>
            </w:r>
          </w:p>
        </w:tc>
      </w:tr>
      <w:tr>
        <w:tblPrEx>
          <w:tblCellMar>
            <w:top w:w="0" w:type="dxa"/>
            <w:left w:w="108" w:type="dxa"/>
            <w:bottom w:w="0" w:type="dxa"/>
            <w:right w:w="108" w:type="dxa"/>
          </w:tblCellMar>
        </w:tblPrEx>
        <w:trPr>
          <w:trHeight w:val="56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效益指标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社会效益指标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文化市场有序程度</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r>
        <w:tblPrEx>
          <w:tblCellMar>
            <w:top w:w="0" w:type="dxa"/>
            <w:left w:w="108" w:type="dxa"/>
            <w:bottom w:w="0" w:type="dxa"/>
            <w:right w:w="108" w:type="dxa"/>
          </w:tblCellMar>
        </w:tblPrEx>
        <w:trPr>
          <w:trHeight w:val="840" w:hRule="atLeast"/>
          <w:jc w:val="center"/>
        </w:trPr>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满意度指标</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服务对象满意度指标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5"/>
                <w:rFonts w:hint="default"/>
                <w:lang w:bidi="ar"/>
              </w:rPr>
              <w:t>群众满意度</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eastAsia="仿宋_GB2312"/>
          <w:sz w:val="32"/>
          <w:szCs w:val="32"/>
        </w:rPr>
      </w:pPr>
      <w:r>
        <w:rPr>
          <w:rFonts w:hint="eastAsia" w:ascii="仿宋_GB2312" w:eastAsia="仿宋_GB2312"/>
          <w:b/>
          <w:bCs/>
          <w:sz w:val="32"/>
          <w:szCs w:val="32"/>
        </w:rPr>
        <w:t>（一）文化旅游体育与传媒支出（类）文化和旅游（款）行政运行（项）：</w:t>
      </w:r>
      <w:r>
        <w:rPr>
          <w:rFonts w:hint="eastAsia" w:ascii="仿宋_GB2312" w:eastAsia="仿宋_GB2312"/>
          <w:sz w:val="32"/>
          <w:szCs w:val="32"/>
        </w:rPr>
        <w:t>反映行政单位（包括实行公务员管理的事业单位）的基本支出。</w:t>
      </w:r>
    </w:p>
    <w:p>
      <w:pPr>
        <w:ind w:firstLine="643" w:firstLineChars="200"/>
      </w:pPr>
      <w:r>
        <w:rPr>
          <w:rFonts w:hint="eastAsia" w:ascii="仿宋_GB2312" w:eastAsia="仿宋_GB2312"/>
          <w:b/>
          <w:bCs/>
          <w:sz w:val="32"/>
          <w:szCs w:val="32"/>
        </w:rPr>
        <w:t>（二）文化旅游体育与传媒支出（类）文化和旅游（款）文化创作与保护（项）：</w:t>
      </w:r>
      <w:r>
        <w:rPr>
          <w:rFonts w:hint="eastAsia" w:ascii="仿宋_GB2312" w:eastAsia="仿宋_GB2312"/>
          <w:sz w:val="32"/>
          <w:szCs w:val="32"/>
        </w:rPr>
        <w:t>反映鼓励文学、艺术创作和优秀传统文化保护方面的支出。</w:t>
      </w:r>
    </w:p>
    <w:p>
      <w:pPr>
        <w:ind w:firstLine="643" w:firstLineChars="200"/>
      </w:pPr>
      <w:r>
        <w:rPr>
          <w:rFonts w:hint="eastAsia" w:ascii="仿宋_GB2312" w:eastAsia="仿宋_GB2312"/>
          <w:b/>
          <w:bCs/>
          <w:sz w:val="32"/>
          <w:szCs w:val="32"/>
        </w:rPr>
        <w:t>（三）文化旅游体育与传媒支出（类）文化和旅游（款）文化和旅游市场管理（项）：</w:t>
      </w:r>
      <w:r>
        <w:rPr>
          <w:rFonts w:hint="eastAsia" w:ascii="仿宋_GB2312" w:eastAsia="仿宋_GB2312"/>
          <w:sz w:val="32"/>
          <w:szCs w:val="32"/>
        </w:rPr>
        <w:t>反映文化和旅游执法检查等文化旅游市场管理方面的支出。</w:t>
      </w:r>
    </w:p>
    <w:p>
      <w:pPr>
        <w:ind w:firstLine="643" w:firstLineChars="200"/>
      </w:pPr>
      <w:r>
        <w:rPr>
          <w:rFonts w:hint="eastAsia" w:ascii="仿宋_GB2312" w:eastAsia="仿宋_GB2312"/>
          <w:b/>
          <w:bCs/>
          <w:sz w:val="32"/>
          <w:szCs w:val="32"/>
        </w:rPr>
        <w:t>（四）文化旅游体育与传媒支出（类）文化和旅游（款）其他文化和旅游支出（项）：</w:t>
      </w:r>
      <w:r>
        <w:rPr>
          <w:rFonts w:hint="eastAsia" w:ascii="仿宋_GB2312" w:eastAsia="仿宋_GB2312"/>
          <w:sz w:val="32"/>
          <w:szCs w:val="32"/>
        </w:rPr>
        <w:t>反映除上述项目以外其他用于文化和旅游方面的支出。</w:t>
      </w:r>
    </w:p>
    <w:p>
      <w:pPr>
        <w:ind w:firstLine="643" w:firstLineChars="200"/>
      </w:pPr>
      <w:r>
        <w:rPr>
          <w:rFonts w:hint="eastAsia" w:ascii="仿宋_GB2312" w:eastAsia="仿宋_GB2312"/>
          <w:b/>
          <w:bCs/>
          <w:sz w:val="32"/>
          <w:szCs w:val="32"/>
        </w:rPr>
        <w:t>（五）文化旅游体育与传媒支出（类）文物（款）博物馆（项）：</w:t>
      </w:r>
      <w:r>
        <w:rPr>
          <w:rFonts w:hint="eastAsia" w:ascii="仿宋_GB2312" w:eastAsia="仿宋_GB2312"/>
          <w:sz w:val="32"/>
          <w:szCs w:val="32"/>
        </w:rPr>
        <w:t>反映文物系统及其他部门所属博物馆、纪念馆（室）的支出。</w:t>
      </w:r>
    </w:p>
    <w:p>
      <w:pPr>
        <w:ind w:firstLine="643" w:firstLineChars="200"/>
      </w:pPr>
      <w:r>
        <w:rPr>
          <w:rFonts w:hint="eastAsia" w:ascii="仿宋_GB2312" w:eastAsia="仿宋_GB2312"/>
          <w:b/>
          <w:bCs/>
          <w:sz w:val="32"/>
          <w:szCs w:val="32"/>
        </w:rPr>
        <w:t>（六）文化旅游体育与传媒支出（类）其他文化旅游体育与传媒支出（款）其他文化旅游体育与传媒支出（项）：</w:t>
      </w:r>
      <w:r>
        <w:rPr>
          <w:rFonts w:hint="eastAsia" w:ascii="仿宋_GB2312" w:eastAsia="仿宋_GB2312"/>
          <w:sz w:val="32"/>
          <w:szCs w:val="32"/>
        </w:rPr>
        <w:t>反映除上述项目以外其他用于文化旅游体育与传媒方面的支出。</w:t>
      </w:r>
    </w:p>
    <w:p>
      <w:pPr>
        <w:ind w:firstLine="643" w:firstLineChars="200"/>
      </w:pPr>
      <w:r>
        <w:rPr>
          <w:rFonts w:hint="eastAsia" w:ascii="仿宋_GB2312" w:eastAsia="仿宋_GB2312"/>
          <w:b/>
          <w:bCs/>
          <w:sz w:val="32"/>
          <w:szCs w:val="32"/>
        </w:rPr>
        <w:t>（七）社会保障和就业支出（类）行政事业单位养老支出（款）机关事业单位基本养老保险缴费支出（项）：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pPr>
      <w:r>
        <w:rPr>
          <w:rFonts w:hint="eastAsia" w:ascii="仿宋_GB2312" w:eastAsia="仿宋_GB2312"/>
          <w:b/>
          <w:bCs/>
          <w:sz w:val="32"/>
          <w:szCs w:val="32"/>
        </w:rPr>
        <w:t>（八）社会保障和就业支出（类）行政事业单位养老支出（款）机关事业单位职业年金缴费支出（项）：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pPr>
      <w:r>
        <w:rPr>
          <w:rFonts w:hint="eastAsia" w:ascii="仿宋_GB2312" w:eastAsia="仿宋_GB2312"/>
          <w:b/>
          <w:bCs/>
          <w:sz w:val="32"/>
          <w:szCs w:val="32"/>
        </w:rPr>
        <w:t>（九）社会保障和就业支出（类）行政事业单位养老支出（款）其他行政事业单位养老支出（项）：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pPr>
      <w:r>
        <w:rPr>
          <w:rFonts w:hint="eastAsia" w:ascii="仿宋_GB2312" w:eastAsia="仿宋_GB2312"/>
          <w:b/>
          <w:bCs/>
          <w:sz w:val="32"/>
          <w:szCs w:val="32"/>
        </w:rPr>
        <w:t>（十）社会保障和就业支出（类）其他社会保障和就业支出（款）其他社会保障和就业支出（项）：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pPr>
      <w:r>
        <w:rPr>
          <w:rFonts w:hint="eastAsia" w:ascii="仿宋_GB2312" w:eastAsia="仿宋_GB2312"/>
          <w:b/>
          <w:bCs/>
          <w:sz w:val="32"/>
          <w:szCs w:val="32"/>
        </w:rPr>
        <w:t>（十一）卫生健康支出（类）行政事业单位医疗（款）行政单位医疗（项）：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（十二）卫生健康支出（类）行政事业单位医疗（款）事业单位医疗（项）：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pPr>
      <w:r>
        <w:rPr>
          <w:rFonts w:hint="eastAsia" w:ascii="仿宋_GB2312" w:eastAsia="仿宋_GB2312"/>
          <w:b/>
          <w:bCs/>
          <w:sz w:val="32"/>
          <w:szCs w:val="32"/>
        </w:rPr>
        <w:t>（十三）卫生健康支出（类）行政事业单位医疗（款）公务员医疗补助（项）：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rPr>
          <w:rFonts w:ascii="仿宋_GB2312" w:hAnsi="仿宋" w:eastAsia="仿宋_GB2312"/>
          <w:b/>
          <w:spacing w:val="-6"/>
          <w:sz w:val="32"/>
          <w:szCs w:val="32"/>
        </w:rPr>
      </w:pPr>
      <w:r>
        <w:rPr>
          <w:rFonts w:hint="eastAsia" w:ascii="仿宋_GB2312" w:eastAsia="仿宋_GB2312"/>
          <w:b/>
          <w:bCs/>
          <w:sz w:val="32"/>
          <w:szCs w:val="32"/>
        </w:rPr>
        <w:t>（十四）住房保障支出（类）住房改革支出（款）住房公积金（项）：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07CBD"/>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4A3B"/>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0E48"/>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342A"/>
    <w:rsid w:val="003A5B8D"/>
    <w:rsid w:val="003B6430"/>
    <w:rsid w:val="003C2061"/>
    <w:rsid w:val="003C228E"/>
    <w:rsid w:val="003C57D4"/>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15AA9"/>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C2A6A"/>
    <w:rsid w:val="00AF4763"/>
    <w:rsid w:val="00AF557A"/>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D618E"/>
    <w:rsid w:val="00CE5CA7"/>
    <w:rsid w:val="00CE7C0B"/>
    <w:rsid w:val="00CF5B34"/>
    <w:rsid w:val="00CF7C55"/>
    <w:rsid w:val="00D04E62"/>
    <w:rsid w:val="00D07693"/>
    <w:rsid w:val="00D1473B"/>
    <w:rsid w:val="00D15776"/>
    <w:rsid w:val="00D161D6"/>
    <w:rsid w:val="00D22E19"/>
    <w:rsid w:val="00D25D6A"/>
    <w:rsid w:val="00D31757"/>
    <w:rsid w:val="00D34D5B"/>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3767"/>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3D27"/>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1A1C8B"/>
    <w:rsid w:val="64576DFD"/>
    <w:rsid w:val="64654C7D"/>
    <w:rsid w:val="64664AA2"/>
    <w:rsid w:val="648A0240"/>
    <w:rsid w:val="648D1FCA"/>
    <w:rsid w:val="648D3899"/>
    <w:rsid w:val="64BD0615"/>
    <w:rsid w:val="64EA206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66184D"/>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字符"/>
    <w:link w:val="2"/>
    <w:semiHidden/>
    <w:qFormat/>
    <w:uiPriority w:val="99"/>
    <w:rPr>
      <w:rFonts w:ascii="Times New Roman" w:hAnsi="Times New Roman"/>
      <w:kern w:val="2"/>
      <w:sz w:val="18"/>
      <w:szCs w:val="18"/>
    </w:rPr>
  </w:style>
  <w:style w:type="character" w:customStyle="1" w:styleId="9">
    <w:name w:val="页脚 字符"/>
    <w:link w:val="3"/>
    <w:qFormat/>
    <w:uiPriority w:val="99"/>
    <w:rPr>
      <w:rFonts w:ascii="Times New Roman" w:hAnsi="Times New Roman"/>
      <w:kern w:val="2"/>
      <w:sz w:val="18"/>
      <w:szCs w:val="18"/>
    </w:rPr>
  </w:style>
  <w:style w:type="character" w:customStyle="1" w:styleId="10">
    <w:name w:val="页眉 字符"/>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字符"/>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1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8431</Words>
  <Characters>10213</Characters>
  <Lines>85</Lines>
  <Paragraphs>24</Paragraphs>
  <TotalTime>51</TotalTime>
  <ScaleCrop>false</ScaleCrop>
  <LinksUpToDate>false</LinksUpToDate>
  <CharactersWithSpaces>10327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2023-06-07T02:26:52Z</dcterms:modified>
  <dc:title>×××部门</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16DDD06101A443AFBD5E38C7A6309938_13</vt:lpwstr>
  </property>
</Properties>
</file>