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7"/>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7"/>
              <w:jc w:val="center"/>
              <w:rPr>
                <w:rFonts w:ascii="Cambria" w:hAnsi="Cambria"/>
                <w:b/>
                <w:sz w:val="80"/>
                <w:szCs w:val="80"/>
              </w:rPr>
            </w:pPr>
            <w:r>
              <w:rPr>
                <w:rFonts w:hint="eastAsia" w:ascii="Cambria" w:hAnsi="Cambria"/>
                <w:b/>
                <w:sz w:val="80"/>
                <w:szCs w:val="80"/>
                <w:lang w:val="en-US" w:eastAsia="zh-CN"/>
              </w:rPr>
              <w:t>湟源县种子站</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7"/>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7"/>
              <w:jc w:val="center"/>
            </w:pPr>
          </w:p>
        </w:tc>
      </w:tr>
    </w:tbl>
    <w:p/>
    <w:tbl>
      <w:tblPr>
        <w:tblStyle w:val="10"/>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7"/>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湟源县种子站主要工作职能</w:t>
      </w:r>
      <w:r>
        <w:rPr>
          <w:rFonts w:hint="eastAsia" w:ascii="仿宋_GB2312" w:eastAsia="仿宋_GB2312"/>
          <w:sz w:val="32"/>
          <w:szCs w:val="32"/>
          <w:lang w:eastAsia="zh-CN"/>
        </w:rPr>
        <w:t>为</w:t>
      </w:r>
      <w:r>
        <w:rPr>
          <w:rFonts w:hint="eastAsia" w:ascii="仿宋_GB2312" w:eastAsia="仿宋_GB2312"/>
          <w:sz w:val="32"/>
          <w:szCs w:val="32"/>
        </w:rPr>
        <w:t>贯彻执行国家和地方农作物种子法律法规和政策；承担全县种子新品种引进、试验示范、推广应用工作；承担全县良种繁育和保护工作；承担全县救灾种子的收购和储备工作；承担种子质量的检验检测工作</w:t>
      </w:r>
      <w:r>
        <w:rPr>
          <w:rFonts w:hint="eastAsia" w:ascii="仿宋_GB2312" w:eastAsia="仿宋_GB2312"/>
          <w:sz w:val="32"/>
          <w:szCs w:val="32"/>
          <w:lang w:eastAsia="zh-CN"/>
        </w:rPr>
        <w:t>。</w:t>
      </w:r>
      <w:r>
        <w:rPr>
          <w:rFonts w:hint="eastAsia" w:ascii="仿宋_GB2312" w:eastAsia="仿宋_GB2312"/>
          <w:sz w:val="32"/>
          <w:szCs w:val="32"/>
        </w:rPr>
        <w:t>全县农作物种子市场管理、品种管理、质量管理、种子基地管理；督促种业公司进行全县救灾备荒种子收购贮备调运工作；制定全县种子产业发展的中长远规划和计划，组织全县种子工程项目实施，组织良种生产；负责种子专业村技术人员培训；承担全县农作物品种资源保护，完成县农</w:t>
      </w:r>
      <w:r>
        <w:rPr>
          <w:rFonts w:hint="eastAsia" w:ascii="仿宋_GB2312" w:eastAsia="仿宋_GB2312"/>
          <w:sz w:val="32"/>
          <w:szCs w:val="32"/>
          <w:lang w:val="en-US" w:eastAsia="zh-CN"/>
        </w:rPr>
        <w:t>业农村</w:t>
      </w:r>
      <w:r>
        <w:rPr>
          <w:rFonts w:hint="eastAsia" w:ascii="仿宋_GB2312" w:eastAsia="仿宋_GB2312"/>
          <w:sz w:val="32"/>
          <w:szCs w:val="32"/>
        </w:rPr>
        <w:t>局交办的其他工作任务。</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pStyle w:val="9"/>
        <w:keepNext w:val="0"/>
        <w:keepLines w:val="0"/>
        <w:pageBreakBefore w:val="0"/>
        <w:kinsoku/>
        <w:wordWrap/>
        <w:overflowPunct/>
        <w:topLinePunct w:val="0"/>
        <w:autoSpaceDE/>
        <w:autoSpaceDN/>
        <w:bidi w:val="0"/>
        <w:adjustRightInd w:val="0"/>
        <w:snapToGrid/>
        <w:spacing w:before="0" w:beforeAutospacing="0" w:after="0" w:afterAutospacing="0" w:line="576" w:lineRule="exact"/>
        <w:ind w:firstLine="640" w:firstLineChars="200"/>
        <w:jc w:val="both"/>
        <w:textAlignment w:val="auto"/>
        <w:rPr>
          <w:rFonts w:hint="default" w:ascii="仿宋_GB2312" w:eastAsia="仿宋_GB2312"/>
          <w:color w:val="000000"/>
          <w:sz w:val="32"/>
          <w:szCs w:val="32"/>
          <w:lang w:val="en-US"/>
        </w:rPr>
      </w:pPr>
      <w:r>
        <w:rPr>
          <w:rFonts w:hint="eastAsia" w:ascii="仿宋_GB2312" w:hAnsi="Times New Roman" w:eastAsia="仿宋_GB2312" w:cs="Times New Roman"/>
          <w:kern w:val="2"/>
          <w:sz w:val="32"/>
          <w:szCs w:val="32"/>
          <w:lang w:val="en-US" w:eastAsia="zh-CN" w:bidi="ar-SA"/>
        </w:rPr>
        <w:t>湟源县种子站，隶属于湟源县农业农村局，第一类公益事业单位。2022年末，有编制10人，在编职工10人。</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纳入湟源县种子站2023年部门预算编制范围的二级预算单位包括：</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328" w:type="dxa"/>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jc w:val="center"/>
              <w:rPr>
                <w:rFonts w:ascii="仿宋_GB2312" w:eastAsia="仿宋_GB2312"/>
                <w:sz w:val="32"/>
                <w:szCs w:val="32"/>
              </w:rPr>
            </w:pPr>
            <w:r>
              <w:rPr>
                <w:rFonts w:hint="eastAsia" w:ascii="仿宋_GB2312" w:eastAsia="仿宋_GB2312"/>
                <w:sz w:val="32"/>
                <w:szCs w:val="32"/>
              </w:rPr>
              <w:t>1</w:t>
            </w:r>
          </w:p>
        </w:tc>
        <w:tc>
          <w:tcPr>
            <w:tcW w:w="6328"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10"/>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276.33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57.49</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22.28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179.34</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17.22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276.33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276.33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276.33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276.33</w:t>
            </w:r>
          </w:p>
        </w:tc>
      </w:tr>
    </w:tbl>
    <w:p>
      <w:pPr>
        <w:rPr>
          <w:rFonts w:hint="eastAsia" w:ascii="仿宋_GB2312" w:eastAsia="仿宋_GB2312"/>
          <w:sz w:val="32"/>
          <w:szCs w:val="32"/>
          <w:lang w:val="en-US" w:eastAsia="zh-CN"/>
        </w:rPr>
      </w:pPr>
    </w:p>
    <w:tbl>
      <w:tblPr>
        <w:tblStyle w:val="10"/>
        <w:tblpPr w:leftFromText="180" w:rightFromText="180" w:vertAnchor="text" w:horzAnchor="page" w:tblpXSpec="center" w:tblpY="618"/>
        <w:tblOverlap w:val="never"/>
        <w:tblW w:w="11175" w:type="dxa"/>
        <w:jc w:val="center"/>
        <w:tblLayout w:type="fixed"/>
        <w:tblCellMar>
          <w:top w:w="0" w:type="dxa"/>
          <w:left w:w="108" w:type="dxa"/>
          <w:bottom w:w="0" w:type="dxa"/>
          <w:right w:w="108" w:type="dxa"/>
        </w:tblCellMar>
      </w:tblPr>
      <w:tblGrid>
        <w:gridCol w:w="1036"/>
        <w:gridCol w:w="1059"/>
        <w:gridCol w:w="911"/>
        <w:gridCol w:w="950"/>
        <w:gridCol w:w="914"/>
        <w:gridCol w:w="914"/>
        <w:gridCol w:w="914"/>
        <w:gridCol w:w="914"/>
        <w:gridCol w:w="914"/>
        <w:gridCol w:w="914"/>
        <w:gridCol w:w="914"/>
        <w:gridCol w:w="821"/>
      </w:tblGrid>
      <w:tr>
        <w:tblPrEx>
          <w:tblCellMar>
            <w:top w:w="0" w:type="dxa"/>
            <w:left w:w="108" w:type="dxa"/>
            <w:bottom w:w="0" w:type="dxa"/>
            <w:right w:w="108" w:type="dxa"/>
          </w:tblCellMar>
        </w:tblPrEx>
        <w:trPr>
          <w:trHeight w:val="392" w:hRule="atLeast"/>
          <w:jc w:val="center"/>
        </w:trPr>
        <w:tc>
          <w:tcPr>
            <w:tcW w:w="11175"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175"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175"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276.33</w:t>
            </w:r>
          </w:p>
        </w:tc>
        <w:tc>
          <w:tcPr>
            <w:tcW w:w="91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276.33</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湟源县农业农村局</w:t>
            </w:r>
          </w:p>
        </w:tc>
        <w:tc>
          <w:tcPr>
            <w:tcW w:w="10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276.33</w:t>
            </w:r>
          </w:p>
        </w:tc>
        <w:tc>
          <w:tcPr>
            <w:tcW w:w="91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276.33</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湟源县种子站</w:t>
            </w:r>
          </w:p>
        </w:tc>
        <w:tc>
          <w:tcPr>
            <w:tcW w:w="10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276.33</w:t>
            </w:r>
          </w:p>
        </w:tc>
        <w:tc>
          <w:tcPr>
            <w:tcW w:w="91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276.33</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10"/>
        <w:tblW w:w="11482" w:type="dxa"/>
        <w:jc w:val="center"/>
        <w:tblLayout w:type="fixed"/>
        <w:tblCellMar>
          <w:top w:w="0" w:type="dxa"/>
          <w:left w:w="108" w:type="dxa"/>
          <w:bottom w:w="0" w:type="dxa"/>
          <w:right w:w="108" w:type="dxa"/>
        </w:tblCellMar>
      </w:tblPr>
      <w:tblGrid>
        <w:gridCol w:w="1100"/>
        <w:gridCol w:w="3838"/>
        <w:gridCol w:w="1090"/>
        <w:gridCol w:w="1090"/>
        <w:gridCol w:w="1090"/>
        <w:gridCol w:w="1090"/>
        <w:gridCol w:w="1090"/>
        <w:gridCol w:w="1094"/>
      </w:tblGrid>
      <w:tr>
        <w:tblPrEx>
          <w:tblCellMar>
            <w:top w:w="0" w:type="dxa"/>
            <w:left w:w="108" w:type="dxa"/>
            <w:bottom w:w="0" w:type="dxa"/>
            <w:right w:w="108" w:type="dxa"/>
          </w:tblCellMar>
        </w:tblPrEx>
        <w:trPr>
          <w:trHeight w:val="187" w:hRule="atLeast"/>
          <w:jc w:val="center"/>
        </w:trPr>
        <w:tc>
          <w:tcPr>
            <w:tcW w:w="11482"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482"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482"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8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93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276.33</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251.33</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25.00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8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57.49</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57.49</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8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55.99</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55.99</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8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18.28</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18.28</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8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9.14</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9.14</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8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28.57</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28.57</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8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8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8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22.28</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22.28</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8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22.28</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22.28</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8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13.74</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13.74</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8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8.54</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8.54</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w:t>
            </w:r>
          </w:p>
        </w:tc>
        <w:tc>
          <w:tcPr>
            <w:tcW w:w="38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农林水支出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179.34</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154.34</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25.00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21301</w:t>
            </w:r>
          </w:p>
        </w:tc>
        <w:tc>
          <w:tcPr>
            <w:tcW w:w="38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农业农村</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179.34</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154.34</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25.00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2130104</w:t>
            </w:r>
          </w:p>
        </w:tc>
        <w:tc>
          <w:tcPr>
            <w:tcW w:w="38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事业运行</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179.34</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154.34</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25.00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8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17.22</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17.22</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8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17.22</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17.22</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8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17.22</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17.22</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10"/>
        <w:tblpPr w:leftFromText="180" w:rightFromText="180" w:vertAnchor="text" w:horzAnchor="page" w:tblpXSpec="center" w:tblpY="183"/>
        <w:tblOverlap w:val="never"/>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1084"/>
        <w:gridCol w:w="1751"/>
        <w:gridCol w:w="1279"/>
        <w:gridCol w:w="13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62"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2"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2"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92"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7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0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34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276.33</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276.33</w:t>
            </w: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276.33</w:t>
            </w: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276.33</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57.49</w:t>
            </w: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57.49</w:t>
            </w: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22.28</w:t>
            </w: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22.28</w:t>
            </w: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179.34</w:t>
            </w: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179.34</w:t>
            </w: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17.22</w:t>
            </w: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17.22</w:t>
            </w: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8"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276.33</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27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276.33</w:t>
            </w: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276.33</w:t>
            </w:r>
          </w:p>
        </w:tc>
        <w:tc>
          <w:tcPr>
            <w:tcW w:w="1340"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10"/>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714"/>
        <w:gridCol w:w="1415"/>
        <w:gridCol w:w="1415"/>
        <w:gridCol w:w="1416"/>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963"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24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71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1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1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1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7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963"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276.33</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251.33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57.49</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57.49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55.99</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55.99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18.28</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18.28</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9.14</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9.14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28.57</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28.57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1.50</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1.50</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22.28</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22.28</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22.28</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22.28</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13.74</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13.74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8.54</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8.54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农林水支出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179.34</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154.34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农业农村</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179.34</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154.34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04</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事业运行</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179.34</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154.34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17.22</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17.22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17.22</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17.22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17.22</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17.22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10"/>
        <w:tblW w:w="10595" w:type="dxa"/>
        <w:jc w:val="center"/>
        <w:tblLayout w:type="fixed"/>
        <w:tblCellMar>
          <w:top w:w="0" w:type="dxa"/>
          <w:left w:w="108" w:type="dxa"/>
          <w:bottom w:w="0" w:type="dxa"/>
          <w:right w:w="108" w:type="dxa"/>
        </w:tblCellMar>
      </w:tblPr>
      <w:tblGrid>
        <w:gridCol w:w="650"/>
        <w:gridCol w:w="650"/>
        <w:gridCol w:w="3073"/>
        <w:gridCol w:w="2074"/>
        <w:gridCol w:w="2074"/>
        <w:gridCol w:w="2074"/>
      </w:tblGrid>
      <w:tr>
        <w:tblPrEx>
          <w:tblCellMar>
            <w:top w:w="0" w:type="dxa"/>
            <w:left w:w="108" w:type="dxa"/>
            <w:bottom w:w="0" w:type="dxa"/>
            <w:right w:w="108" w:type="dxa"/>
          </w:tblCellMar>
        </w:tblPrEx>
        <w:trPr>
          <w:trHeight w:val="264" w:hRule="atLeast"/>
          <w:jc w:val="center"/>
        </w:trPr>
        <w:tc>
          <w:tcPr>
            <w:tcW w:w="1059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059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059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37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22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07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07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07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07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0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0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0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37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251.33</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244.95</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6.38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209.59</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209.59</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39.32</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39.32</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45.43</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45.43</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63.22</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63.22</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18.28</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18.28</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9.14</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9.14</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6.95</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6.95</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8.54</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8.54</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1.50</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1.50</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17.22</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17.22</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6.38</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6.38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0.30</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0.20</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0.20</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0.50</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0.40</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0.20</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2.14</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0.64</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35.36</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35.36</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26.88</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26.88</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1.69</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1.69</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6.79</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6.79</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399</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其他支出</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07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其他支出</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10"/>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62"/>
            <w:bookmarkEnd w:id="1"/>
            <w:bookmarkStart w:id="2" w:name="RANGE!A1:G6"/>
            <w:bookmarkEnd w:id="2"/>
            <w:bookmarkStart w:id="3" w:name="RANGE!A1:F15"/>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0.20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0.80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0.20</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10"/>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湟源县种子站2023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湟源县种子站</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一般公共预算拨款收入276.33万元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社会保障和就业支出57.49万元，卫生健康支出22.28万元，农林水支出179.34万元，住房保障支出17.22万元</w:t>
      </w:r>
      <w:r>
        <w:rPr>
          <w:rFonts w:hint="eastAsia" w:ascii="仿宋_GB2312" w:eastAsia="仿宋_GB2312"/>
          <w:sz w:val="32"/>
          <w:szCs w:val="32"/>
        </w:rPr>
        <w:t>。</w:t>
      </w:r>
      <w:r>
        <w:rPr>
          <w:rFonts w:hint="eastAsia" w:ascii="仿宋_GB2312" w:eastAsia="仿宋_GB2312"/>
          <w:sz w:val="32"/>
          <w:szCs w:val="32"/>
          <w:lang w:val="en-US" w:eastAsia="zh-CN"/>
        </w:rPr>
        <w:t>湟源县种子站2023</w:t>
      </w:r>
      <w:r>
        <w:rPr>
          <w:rFonts w:hint="eastAsia" w:ascii="仿宋_GB2312" w:eastAsia="仿宋_GB2312"/>
          <w:sz w:val="32"/>
          <w:szCs w:val="32"/>
        </w:rPr>
        <w:t>年收支总预算</w:t>
      </w:r>
      <w:r>
        <w:rPr>
          <w:rFonts w:hint="eastAsia" w:ascii="仿宋_GB2312" w:eastAsia="仿宋_GB2312"/>
          <w:sz w:val="32"/>
          <w:szCs w:val="32"/>
          <w:lang w:val="en-US" w:eastAsia="zh-CN"/>
        </w:rPr>
        <w:t>276.33</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湟源县种子站2023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湟源县种子站2023</w:t>
      </w:r>
      <w:r>
        <w:rPr>
          <w:rFonts w:hint="eastAsia" w:ascii="仿宋_GB2312" w:eastAsia="仿宋_GB2312"/>
          <w:sz w:val="32"/>
          <w:szCs w:val="32"/>
        </w:rPr>
        <w:t>年收入预算</w:t>
      </w:r>
      <w:r>
        <w:rPr>
          <w:rFonts w:hint="eastAsia" w:ascii="仿宋_GB2312" w:eastAsia="仿宋_GB2312"/>
          <w:sz w:val="32"/>
          <w:szCs w:val="32"/>
          <w:lang w:val="en-US" w:eastAsia="zh-CN"/>
        </w:rPr>
        <w:t>276.33</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一般公共预算拨款收入276.33万元，占100.00%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47.2pt;width:319.9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湟源县种子站2023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湟源县种子站2023</w:t>
      </w:r>
      <w:r>
        <w:rPr>
          <w:rFonts w:hint="eastAsia" w:ascii="仿宋_GB2312" w:eastAsia="仿宋_GB2312"/>
          <w:sz w:val="32"/>
          <w:szCs w:val="32"/>
        </w:rPr>
        <w:t>年支出预算</w:t>
      </w:r>
      <w:r>
        <w:rPr>
          <w:rFonts w:hint="eastAsia" w:ascii="仿宋_GB2312" w:eastAsia="仿宋_GB2312"/>
          <w:sz w:val="32"/>
          <w:szCs w:val="32"/>
          <w:lang w:val="en-US" w:eastAsia="zh-CN"/>
        </w:rPr>
        <w:t>276.33</w:t>
      </w:r>
      <w:r>
        <w:rPr>
          <w:rFonts w:hint="eastAsia" w:ascii="仿宋_GB2312" w:eastAsia="仿宋_GB2312"/>
          <w:sz w:val="32"/>
          <w:szCs w:val="32"/>
        </w:rPr>
        <w:t>万元，其中：</w:t>
      </w:r>
      <w:r>
        <w:rPr>
          <w:rFonts w:hint="eastAsia" w:ascii="仿宋_GB2312" w:eastAsia="仿宋_GB2312"/>
          <w:sz w:val="32"/>
          <w:szCs w:val="32"/>
          <w:lang w:val="en-US" w:eastAsia="zh-CN"/>
        </w:rPr>
        <w:t>基本支出251.33万元，占90.95%；项目支出25.00万元，占9.05%</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44.4pt;width:313.9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湟源县种子站2023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湟源县种子站2023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276.33</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增加22.26</w:t>
      </w:r>
      <w:r>
        <w:rPr>
          <w:rFonts w:hint="eastAsia" w:ascii="仿宋_GB2312" w:eastAsia="仿宋_GB2312"/>
          <w:sz w:val="32"/>
          <w:szCs w:val="32"/>
        </w:rPr>
        <w:t>万元，主要是</w:t>
      </w:r>
      <w:r>
        <w:rPr>
          <w:rFonts w:hint="eastAsia" w:ascii="仿宋_GB2312" w:eastAsia="仿宋_GB2312"/>
          <w:sz w:val="32"/>
          <w:szCs w:val="32"/>
          <w:lang w:val="en-US" w:eastAsia="zh-CN"/>
        </w:rPr>
        <w:t>工作经费增加以及部分人员工资增加</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一般公共预算拨款收入276.33万元，上年结转0.00万元；政府性基金预算拨款收入0.00万元，上年结转0.00万元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社会保障和就业支出57.49万元， 卫生健康支出22.28万元， 农林水支出179.34万元， 住房保障支出17.22万元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47.75pt;width:321.1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湟源县种子站2023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湟源县种子站2023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276.33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增加22.26</w:t>
      </w:r>
      <w:r>
        <w:rPr>
          <w:rFonts w:hint="eastAsia" w:ascii="仿宋_GB2312" w:eastAsia="仿宋_GB2312"/>
          <w:sz w:val="32"/>
          <w:szCs w:val="32"/>
        </w:rPr>
        <w:t>万元，主要是</w:t>
      </w:r>
      <w:r>
        <w:rPr>
          <w:rFonts w:hint="eastAsia" w:ascii="仿宋_GB2312" w:eastAsia="仿宋_GB2312"/>
          <w:sz w:val="32"/>
          <w:szCs w:val="32"/>
          <w:lang w:val="en-US" w:eastAsia="zh-CN"/>
        </w:rPr>
        <w:t>工作经费增加以及部分人员工资增加</w:t>
      </w:r>
      <w:r>
        <w:rPr>
          <w:rFonts w:hint="eastAsia" w:ascii="仿宋_GB2312" w:eastAsia="仿宋_GB2312"/>
          <w:i w:val="0"/>
          <w:iCs/>
          <w:sz w:val="32"/>
          <w:szCs w:val="32"/>
          <w:u w:val="none"/>
          <w:lang w:eastAsia="zh-CN"/>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09.9pt;width:321.3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社会保障和就业支出57.49万元，占20.80%；卫生健康支出22.28万元，占8.06%；农林水支出179.34万元，占64.90%；住房保障支出17.22万元，占6.23%</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41.65pt;width:307.9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18.28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增加3.33</w:t>
      </w:r>
      <w:r>
        <w:rPr>
          <w:rFonts w:hint="eastAsia" w:ascii="仿宋_GB2312" w:eastAsia="仿宋_GB2312"/>
          <w:sz w:val="32"/>
          <w:szCs w:val="32"/>
        </w:rPr>
        <w:t>万元，</w:t>
      </w:r>
      <w:r>
        <w:rPr>
          <w:rFonts w:hint="eastAsia" w:ascii="仿宋_GB2312" w:eastAsia="仿宋_GB2312"/>
          <w:sz w:val="32"/>
          <w:szCs w:val="32"/>
          <w:lang w:val="en-US" w:eastAsia="zh-CN"/>
        </w:rPr>
        <w:t>增长22.27</w:t>
      </w:r>
      <w:r>
        <w:rPr>
          <w:rFonts w:hint="eastAsia" w:ascii="仿宋_GB2312" w:eastAsia="仿宋_GB2312"/>
          <w:sz w:val="32"/>
          <w:szCs w:val="32"/>
        </w:rPr>
        <w:t>%。主要是</w:t>
      </w:r>
      <w:r>
        <w:rPr>
          <w:rFonts w:hint="eastAsia" w:ascii="仿宋_GB2312" w:eastAsia="仿宋_GB2312"/>
          <w:sz w:val="32"/>
          <w:szCs w:val="32"/>
          <w:lang w:val="en-US" w:eastAsia="zh-CN"/>
        </w:rPr>
        <w:t>部分人员工资增加。</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9.14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增加1.66</w:t>
      </w:r>
      <w:r>
        <w:rPr>
          <w:rFonts w:hint="eastAsia" w:ascii="仿宋_GB2312" w:eastAsia="仿宋_GB2312"/>
          <w:sz w:val="32"/>
          <w:szCs w:val="32"/>
        </w:rPr>
        <w:t>万元，</w:t>
      </w:r>
      <w:r>
        <w:rPr>
          <w:rFonts w:hint="eastAsia" w:ascii="仿宋_GB2312" w:eastAsia="仿宋_GB2312"/>
          <w:sz w:val="32"/>
          <w:szCs w:val="32"/>
          <w:lang w:val="en-US" w:eastAsia="zh-CN"/>
        </w:rPr>
        <w:t>增长22.19</w:t>
      </w:r>
      <w:r>
        <w:rPr>
          <w:rFonts w:hint="eastAsia" w:ascii="仿宋_GB2312" w:eastAsia="仿宋_GB2312"/>
          <w:sz w:val="32"/>
          <w:szCs w:val="32"/>
        </w:rPr>
        <w:t>%。主要是</w:t>
      </w:r>
      <w:r>
        <w:rPr>
          <w:rFonts w:hint="eastAsia" w:ascii="仿宋_GB2312" w:eastAsia="仿宋_GB2312"/>
          <w:sz w:val="32"/>
          <w:szCs w:val="32"/>
          <w:lang w:val="en-US" w:eastAsia="zh-CN"/>
        </w:rPr>
        <w:t>部分人员工资增加。</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28.57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增加7.34</w:t>
      </w:r>
      <w:r>
        <w:rPr>
          <w:rFonts w:hint="eastAsia" w:ascii="仿宋_GB2312" w:eastAsia="仿宋_GB2312"/>
          <w:sz w:val="32"/>
          <w:szCs w:val="32"/>
        </w:rPr>
        <w:t>万元，</w:t>
      </w:r>
      <w:r>
        <w:rPr>
          <w:rFonts w:hint="eastAsia" w:ascii="仿宋_GB2312" w:eastAsia="仿宋_GB2312"/>
          <w:sz w:val="32"/>
          <w:szCs w:val="32"/>
          <w:lang w:val="en-US" w:eastAsia="zh-CN"/>
        </w:rPr>
        <w:t>增长34.57</w:t>
      </w:r>
      <w:r>
        <w:rPr>
          <w:rFonts w:hint="eastAsia" w:ascii="仿宋_GB2312" w:eastAsia="仿宋_GB2312"/>
          <w:sz w:val="32"/>
          <w:szCs w:val="32"/>
        </w:rPr>
        <w:t>%。主要是</w:t>
      </w:r>
      <w:r>
        <w:rPr>
          <w:rFonts w:hint="eastAsia" w:ascii="仿宋_GB2312" w:eastAsia="仿宋_GB2312"/>
          <w:sz w:val="32"/>
          <w:szCs w:val="32"/>
          <w:lang w:val="en-US" w:eastAsia="zh-CN"/>
        </w:rPr>
        <w:t>部分人员工资增加。</w:t>
      </w:r>
    </w:p>
    <w:p>
      <w:pPr>
        <w:ind w:firstLine="645"/>
        <w:rPr>
          <w:rFonts w:hint="default" w:ascii="仿宋_GB2312" w:eastAsia="仿宋_GB2312"/>
          <w:sz w:val="32"/>
          <w:szCs w:val="32"/>
          <w:highlight w:val="none"/>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1.50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减少0.10</w:t>
      </w:r>
      <w:r>
        <w:rPr>
          <w:rFonts w:hint="eastAsia" w:ascii="仿宋_GB2312" w:eastAsia="仿宋_GB2312"/>
          <w:sz w:val="32"/>
          <w:szCs w:val="32"/>
        </w:rPr>
        <w:t>万元，</w:t>
      </w:r>
      <w:r>
        <w:rPr>
          <w:rFonts w:hint="eastAsia" w:ascii="仿宋_GB2312" w:eastAsia="仿宋_GB2312"/>
          <w:sz w:val="32"/>
          <w:szCs w:val="32"/>
          <w:lang w:val="en-US" w:eastAsia="zh-CN"/>
        </w:rPr>
        <w:t>下降6.25</w:t>
      </w:r>
      <w:r>
        <w:rPr>
          <w:rFonts w:hint="eastAsia" w:ascii="仿宋_GB2312" w:eastAsia="仿宋_GB2312"/>
          <w:sz w:val="32"/>
          <w:szCs w:val="32"/>
        </w:rPr>
        <w:t>%。主要是</w:t>
      </w:r>
      <w:r>
        <w:rPr>
          <w:rFonts w:hint="eastAsia" w:ascii="仿宋_GB2312" w:eastAsia="仿宋_GB2312"/>
          <w:sz w:val="32"/>
          <w:szCs w:val="32"/>
          <w:highlight w:val="none"/>
          <w:lang w:val="en-US" w:eastAsia="zh-CN"/>
        </w:rPr>
        <w:t>人员变动。</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13.74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减少2.45</w:t>
      </w:r>
      <w:r>
        <w:rPr>
          <w:rFonts w:hint="eastAsia" w:ascii="仿宋_GB2312" w:eastAsia="仿宋_GB2312"/>
          <w:sz w:val="32"/>
          <w:szCs w:val="32"/>
        </w:rPr>
        <w:t>万元，</w:t>
      </w:r>
      <w:r>
        <w:rPr>
          <w:rFonts w:hint="eastAsia" w:ascii="仿宋_GB2312" w:eastAsia="仿宋_GB2312"/>
          <w:sz w:val="32"/>
          <w:szCs w:val="32"/>
          <w:lang w:val="en-US" w:eastAsia="zh-CN"/>
        </w:rPr>
        <w:t>下降15.13</w:t>
      </w:r>
      <w:r>
        <w:rPr>
          <w:rFonts w:hint="eastAsia" w:ascii="仿宋_GB2312" w:eastAsia="仿宋_GB2312"/>
          <w:sz w:val="32"/>
          <w:szCs w:val="32"/>
        </w:rPr>
        <w:t>%</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人员变动。</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highlight w:val="none"/>
        </w:rPr>
        <w:t>6、</w:t>
      </w:r>
      <w:r>
        <w:rPr>
          <w:rFonts w:hint="eastAsia" w:ascii="仿宋_GB2312" w:eastAsia="仿宋_GB2312"/>
          <w:sz w:val="32"/>
          <w:szCs w:val="32"/>
          <w:highlight w:val="none"/>
          <w:lang w:val="en-US" w:eastAsia="zh-CN"/>
        </w:rPr>
        <w:t>卫生健康支出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行政事业单位医疗</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公务员医疗补助</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8.54</w:t>
      </w:r>
      <w:r>
        <w:rPr>
          <w:rFonts w:hint="eastAsia" w:ascii="仿宋_GB2312" w:eastAsia="仿宋_GB2312"/>
          <w:sz w:val="32"/>
          <w:szCs w:val="32"/>
          <w:highlight w:val="none"/>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减少0.57</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下降6.26</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人员变动。</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highlight w:val="none"/>
        </w:rPr>
        <w:t>7、</w:t>
      </w:r>
      <w:r>
        <w:rPr>
          <w:rFonts w:hint="eastAsia" w:ascii="仿宋_GB2312" w:eastAsia="仿宋_GB2312"/>
          <w:sz w:val="32"/>
          <w:szCs w:val="32"/>
          <w:highlight w:val="none"/>
          <w:lang w:val="en-US" w:eastAsia="zh-CN"/>
        </w:rPr>
        <w:t>农林水支出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农业农村</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事业运行</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179.34</w:t>
      </w:r>
      <w:r>
        <w:rPr>
          <w:rFonts w:hint="eastAsia" w:ascii="仿宋_GB2312" w:eastAsia="仿宋_GB2312"/>
          <w:sz w:val="32"/>
          <w:szCs w:val="32"/>
          <w:highlight w:val="none"/>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增加29.54</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增长19.72</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工作经费增加。</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highlight w:val="none"/>
        </w:rPr>
        <w:t>8、</w:t>
      </w:r>
      <w:r>
        <w:rPr>
          <w:rFonts w:hint="eastAsia" w:ascii="仿宋_GB2312" w:eastAsia="仿宋_GB2312"/>
          <w:sz w:val="32"/>
          <w:szCs w:val="32"/>
          <w:highlight w:val="none"/>
          <w:lang w:val="en-US" w:eastAsia="zh-CN"/>
        </w:rPr>
        <w:t>农林水支出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农业农村</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其他农业农村支出</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减少20.00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下降100.00</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本年无此项预算。</w:t>
      </w:r>
      <w:bookmarkStart w:id="6" w:name="_GoBack"/>
      <w:bookmarkEnd w:id="6"/>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17.22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增加3.50</w:t>
      </w:r>
      <w:r>
        <w:rPr>
          <w:rFonts w:hint="eastAsia" w:ascii="仿宋_GB2312" w:eastAsia="仿宋_GB2312"/>
          <w:sz w:val="32"/>
          <w:szCs w:val="32"/>
        </w:rPr>
        <w:t>万元，</w:t>
      </w:r>
      <w:r>
        <w:rPr>
          <w:rFonts w:hint="eastAsia" w:ascii="仿宋_GB2312" w:eastAsia="仿宋_GB2312"/>
          <w:sz w:val="32"/>
          <w:szCs w:val="32"/>
          <w:lang w:val="en-US" w:eastAsia="zh-CN"/>
        </w:rPr>
        <w:t>增长25.51</w:t>
      </w:r>
      <w:r>
        <w:rPr>
          <w:rFonts w:hint="eastAsia" w:ascii="仿宋_GB2312" w:eastAsia="仿宋_GB2312"/>
          <w:sz w:val="32"/>
          <w:szCs w:val="32"/>
        </w:rPr>
        <w:t>%。主要是</w:t>
      </w:r>
      <w:r>
        <w:rPr>
          <w:rFonts w:hint="eastAsia" w:ascii="仿宋_GB2312" w:eastAsia="仿宋_GB2312"/>
          <w:sz w:val="32"/>
          <w:szCs w:val="32"/>
          <w:lang w:val="en-US" w:eastAsia="zh-CN"/>
        </w:rPr>
        <w:t>部分人员工资增加。</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湟源县种子站2023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湟源县种子站2023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251.33</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244.95</w:t>
      </w:r>
      <w:r>
        <w:rPr>
          <w:rFonts w:hint="eastAsia" w:ascii="仿宋_GB2312" w:eastAsia="仿宋_GB2312"/>
          <w:sz w:val="32"/>
          <w:szCs w:val="32"/>
        </w:rPr>
        <w:t>万元，主要包括：</w:t>
      </w:r>
      <w:r>
        <w:rPr>
          <w:rFonts w:hint="eastAsia" w:ascii="仿宋_GB2312" w:eastAsia="仿宋_GB2312"/>
          <w:sz w:val="32"/>
          <w:szCs w:val="32"/>
          <w:lang w:val="en-US" w:eastAsia="zh-CN"/>
        </w:rPr>
        <w:t>基本工资39.32万元、津贴补贴45.43万元、绩效工资63.22万元、机关事业单位基本养老保险缴费18.28万元、职业年金缴费9.14万元、职工基本医疗保险缴费6.95万元、公务员医疗补助缴费8.54万元、其他社会保障缴费1.50万元、住房公积金17.22万元、退休费26.88万元、生活补助1.69万元、医疗费补助6.79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6.38</w:t>
      </w:r>
      <w:r>
        <w:rPr>
          <w:rFonts w:hint="eastAsia" w:ascii="仿宋_GB2312" w:eastAsia="仿宋_GB2312"/>
          <w:sz w:val="32"/>
          <w:szCs w:val="32"/>
        </w:rPr>
        <w:t>万元，主要包括：</w:t>
      </w:r>
      <w:r>
        <w:rPr>
          <w:rFonts w:hint="eastAsia" w:ascii="仿宋_GB2312" w:eastAsia="仿宋_GB2312"/>
          <w:sz w:val="32"/>
          <w:szCs w:val="32"/>
          <w:lang w:val="en-US" w:eastAsia="zh-CN"/>
        </w:rPr>
        <w:t>办公费0.30万元、水费0.20万元、电费0.20万元、邮电费0.50万元、取暖费1.00万元、差旅费0.40万元、公务接待费0.20万元、工会经费2.14万元、公务用车运行维护费0.80万元、其他商品和服务支出0.64万元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湟源县种子站2023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湟源县种子站2023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1.00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0.80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0.20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lang w:val="en-US" w:eastAsia="zh-CN"/>
        </w:rPr>
        <w:t>无变化</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湟源县种子站2023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湟源县种子站2023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湟源县种子站</w:t>
      </w:r>
      <w:r>
        <w:rPr>
          <w:rFonts w:hint="eastAsia" w:ascii="仿宋_GB2312" w:hAnsi="仿宋" w:eastAsia="仿宋_GB2312"/>
          <w:spacing w:val="-6"/>
          <w:kern w:val="2"/>
          <w:sz w:val="32"/>
          <w:szCs w:val="32"/>
          <w:lang w:val="en-US"/>
        </w:rPr>
        <w:t>机关运行经费财政拨款预算6.38万元，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预算减少0.15万元，下降2.30%。主要是</w:t>
      </w:r>
      <w:r>
        <w:rPr>
          <w:rFonts w:hint="eastAsia" w:ascii="仿宋_GB2312" w:hAnsi="仿宋" w:eastAsia="仿宋_GB2312"/>
          <w:spacing w:val="-6"/>
          <w:kern w:val="2"/>
          <w:sz w:val="32"/>
          <w:szCs w:val="32"/>
          <w:lang w:val="en-US" w:eastAsia="zh-CN"/>
        </w:rPr>
        <w:t>减少燃气支出预算</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湟源县种子站各单位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万元，其中：政府采购货物预</w:t>
      </w:r>
      <w:r>
        <w:rPr>
          <w:rFonts w:hint="eastAsia" w:ascii="仿宋_GB2312" w:hAnsi="仿宋" w:eastAsia="仿宋_GB2312"/>
          <w:spacing w:val="-6"/>
          <w:kern w:val="2"/>
          <w:sz w:val="32"/>
          <w:szCs w:val="32"/>
          <w:lang w:val="en-US" w:eastAsia="zh-CN"/>
        </w:rPr>
        <w:t>算0万元、</w:t>
      </w:r>
      <w:r>
        <w:rPr>
          <w:rFonts w:hint="eastAsia" w:ascii="仿宋_GB2312" w:hAnsi="仿宋" w:eastAsia="仿宋_GB2312"/>
          <w:spacing w:val="-6"/>
          <w:kern w:val="2"/>
          <w:sz w:val="32"/>
          <w:szCs w:val="32"/>
          <w:lang w:val="en-US"/>
        </w:rPr>
        <w:t>政府采购工</w:t>
      </w:r>
      <w:r>
        <w:rPr>
          <w:rFonts w:hint="eastAsia" w:ascii="仿宋_GB2312" w:hAnsi="仿宋" w:eastAsia="仿宋_GB2312"/>
          <w:spacing w:val="-6"/>
          <w:kern w:val="2"/>
          <w:sz w:val="32"/>
          <w:szCs w:val="32"/>
          <w:lang w:val="en-US" w:eastAsia="zh-CN"/>
        </w:rPr>
        <w:t>程预算0万元、政府采</w:t>
      </w:r>
      <w:r>
        <w:rPr>
          <w:rFonts w:hint="eastAsia" w:ascii="仿宋_GB2312" w:hAnsi="仿宋" w:eastAsia="仿宋_GB2312"/>
          <w:spacing w:val="-6"/>
          <w:kern w:val="2"/>
          <w:sz w:val="32"/>
          <w:szCs w:val="32"/>
          <w:lang w:val="en-US"/>
        </w:rPr>
        <w:t>购服务</w:t>
      </w:r>
      <w:r>
        <w:rPr>
          <w:rFonts w:hint="eastAsia" w:ascii="仿宋_GB2312" w:hAnsi="仿宋" w:eastAsia="仿宋_GB2312"/>
          <w:spacing w:val="-6"/>
          <w:kern w:val="2"/>
          <w:sz w:val="32"/>
          <w:szCs w:val="32"/>
          <w:lang w:val="en-US" w:eastAsia="zh-CN"/>
        </w:rPr>
        <w:t>预算0元。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截至2023年2月底，湟源县种子站所属各预算单位共有车辆1辆，其中，省级领导干部用车0辆、厅级领导干部用车0辆、一般公务用车1辆、一般执法执勤用车0辆、特种专业技术用车0辆、其他用车0辆。单价50万元以上通用设备0台（套），单价100万元以上专用设备0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湟源县种子站</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25.00</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tbl>
      <w:tblPr>
        <w:tblStyle w:val="10"/>
        <w:tblW w:w="101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3"/>
        <w:gridCol w:w="978"/>
        <w:gridCol w:w="2178"/>
        <w:gridCol w:w="844"/>
        <w:gridCol w:w="834"/>
        <w:gridCol w:w="1288"/>
        <w:gridCol w:w="934"/>
        <w:gridCol w:w="989"/>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16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389"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4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8"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21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救灾种子补助</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w:t>
            </w:r>
          </w:p>
        </w:tc>
        <w:tc>
          <w:tcPr>
            <w:tcW w:w="2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lang w:val="en-US" w:eastAsia="zh-CN" w:bidi="ar"/>
              </w:rPr>
              <w:t>　对2020年全县乡镇遭受自然灾害并造成损失的农户进行救灾种子补贴，主要补贴作物为小麦、青稞、油菜，并购置种子基地及检验检测试验用品。</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lang w:val="en-US" w:eastAsia="zh-CN" w:bidi="ar"/>
              </w:rPr>
              <w:t>质量指标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lang w:val="en-US" w:eastAsia="zh-CN" w:bidi="ar"/>
              </w:rPr>
              <w:t>种子合格率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lang w:val="en-US" w:eastAsia="zh-CN" w:bidi="ar"/>
              </w:rPr>
              <w:t>社会效益指标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lang w:val="en-US" w:eastAsia="zh-CN" w:bidi="ar"/>
              </w:rPr>
              <w:t>良种供应率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lang w:val="en-US" w:eastAsia="zh-CN" w:bidi="ar"/>
              </w:rPr>
              <w:t>服务对象满意度指标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lang w:val="en-US" w:eastAsia="zh-CN" w:bidi="ar"/>
              </w:rPr>
              <w:t>受灾农户满意度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种子站工作经费</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2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lang w:val="en-US" w:eastAsia="zh-CN" w:bidi="ar"/>
              </w:rPr>
              <w:t>　日常工作经费，主要用于单位运行保障，包括水电费、燃气费、办公费、车辆运行维护费等。</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lang w:val="en-US" w:eastAsia="zh-CN" w:bidi="ar"/>
              </w:rPr>
              <w:t>时效指标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lang w:val="en-US" w:eastAsia="zh-CN" w:bidi="ar"/>
              </w:rPr>
              <w:t>保障工作正常开展</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lang w:val="en-US" w:eastAsia="zh-CN" w:bidi="ar"/>
              </w:rPr>
              <w:t>社会效益指标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lang w:val="en-US" w:eastAsia="zh-CN" w:bidi="ar"/>
              </w:rPr>
              <w:t>单位正常运行</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lang w:val="en-US" w:eastAsia="zh-CN" w:bidi="ar"/>
              </w:rPr>
              <w:t>服务对象满意度指标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lang w:val="en-US" w:eastAsia="zh-CN" w:bidi="ar"/>
              </w:rPr>
              <w:t>农户满意度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Times New Roman" w:hAnsi="Times New Roman" w:cs="Times New Roman"/>
        </w:rPr>
      </w:pPr>
      <w:r>
        <w:rPr>
          <w:rFonts w:hint="eastAsia" w:ascii="仿宋_GB2312" w:hAnsi="Times New Roman" w:eastAsia="仿宋_GB2312" w:cs="Times New Roman"/>
          <w:b/>
          <w:bCs/>
          <w:sz w:val="32"/>
          <w:szCs w:val="32"/>
          <w:lang w:val="en-US" w:eastAsia="zh-CN"/>
        </w:rPr>
        <w:t>（一）社会保障和就业支出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行政事业单位养老支出</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机关事业单位基本养老保险缴费支出</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val="en-US" w:eastAsia="zh-CN"/>
        </w:rPr>
        <w:t>反映</w:t>
      </w:r>
      <w:r>
        <w:rPr>
          <w:rFonts w:hint="eastAsia" w:ascii="仿宋_GB2312" w:hAnsi="Times New Roman" w:eastAsia="仿宋_GB2312" w:cs="Times New Roman"/>
          <w:sz w:val="32"/>
          <w:szCs w:val="32"/>
          <w:lang w:eastAsia="zh-CN"/>
        </w:rPr>
        <w:t>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Times New Roman" w:hAnsi="Times New Roman" w:cs="Times New Roman"/>
        </w:rPr>
      </w:pPr>
      <w:r>
        <w:rPr>
          <w:rFonts w:hint="eastAsia" w:ascii="仿宋_GB2312" w:hAnsi="Times New Roman" w:eastAsia="仿宋_GB2312" w:cs="Times New Roman"/>
          <w:b/>
          <w:bCs/>
          <w:sz w:val="32"/>
          <w:szCs w:val="32"/>
          <w:lang w:val="en-US" w:eastAsia="zh-CN"/>
        </w:rPr>
        <w:t>（二）社会保障和就业支出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行政事业单位养老支出</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机关事业单位职业年金缴费支出</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val="en-US" w:eastAsia="zh-CN"/>
        </w:rPr>
        <w:t>反映</w:t>
      </w:r>
      <w:r>
        <w:rPr>
          <w:rFonts w:hint="eastAsia" w:ascii="仿宋_GB2312" w:hAnsi="Times New Roman" w:eastAsia="仿宋_GB2312" w:cs="Times New Roman"/>
          <w:sz w:val="32"/>
          <w:szCs w:val="32"/>
          <w:lang w:eastAsia="zh-CN"/>
        </w:rPr>
        <w:t>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Times New Roman" w:hAnsi="Times New Roman" w:cs="Times New Roman"/>
        </w:rPr>
      </w:pPr>
      <w:r>
        <w:rPr>
          <w:rFonts w:hint="eastAsia" w:ascii="仿宋_GB2312" w:hAnsi="Times New Roman" w:eastAsia="仿宋_GB2312" w:cs="Times New Roman"/>
          <w:b/>
          <w:bCs/>
          <w:sz w:val="32"/>
          <w:szCs w:val="32"/>
          <w:lang w:val="en-US" w:eastAsia="zh-CN"/>
        </w:rPr>
        <w:t>（三）社会保障和就业支出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行政事业单位养老支出</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其他行政事业单位养老支出</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val="en-US" w:eastAsia="zh-CN"/>
        </w:rPr>
        <w:t>反映</w:t>
      </w:r>
      <w:r>
        <w:rPr>
          <w:rFonts w:hint="eastAsia" w:ascii="仿宋_GB2312" w:hAnsi="Times New Roman" w:eastAsia="仿宋_GB2312" w:cs="Times New Roman"/>
          <w:sz w:val="32"/>
          <w:szCs w:val="32"/>
          <w:lang w:eastAsia="zh-CN"/>
        </w:rPr>
        <w:t>除上述项目以外其他用于行政事业单位养老方面的支出。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Times New Roman" w:hAnsi="Times New Roman" w:cs="Times New Roman"/>
        </w:rPr>
      </w:pPr>
      <w:r>
        <w:rPr>
          <w:rFonts w:hint="eastAsia" w:ascii="仿宋_GB2312" w:hAnsi="Times New Roman" w:eastAsia="仿宋_GB2312" w:cs="Times New Roman"/>
          <w:b/>
          <w:bCs/>
          <w:sz w:val="32"/>
          <w:szCs w:val="32"/>
          <w:lang w:val="en-US" w:eastAsia="zh-CN"/>
        </w:rPr>
        <w:t>（四）社会保障和就业支出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其他社会保障和就业支出</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其他社会保障和就业支出</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eastAsia="zh-CN"/>
        </w:rPr>
        <w:t>反映除上述项目以外其他用于社会保障和就业方面的支出。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Times New Roman" w:hAnsi="Times New Roman" w:eastAsia="宋体" w:cs="Times New Roman"/>
        </w:rPr>
      </w:pPr>
      <w:r>
        <w:rPr>
          <w:rFonts w:hint="eastAsia" w:ascii="仿宋_GB2312" w:hAnsi="Times New Roman" w:eastAsia="仿宋_GB2312" w:cs="Times New Roman"/>
          <w:b/>
          <w:bCs/>
          <w:sz w:val="32"/>
          <w:szCs w:val="32"/>
          <w:lang w:val="en-US" w:eastAsia="zh-CN"/>
        </w:rPr>
        <w:t>（五）卫生健康支出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行政事业单位医疗</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事业单位医疗</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val="en-US" w:eastAsia="zh-CN"/>
        </w:rPr>
        <w:t>反映</w:t>
      </w:r>
      <w:r>
        <w:rPr>
          <w:rFonts w:hint="eastAsia" w:ascii="仿宋_GB2312" w:hAnsi="Times New Roman" w:eastAsia="仿宋_GB2312" w:cs="Times New Roman"/>
          <w:sz w:val="32"/>
          <w:szCs w:val="32"/>
          <w:lang w:eastAsia="zh-CN"/>
        </w:rPr>
        <w:t>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Times New Roman" w:hAnsi="Times New Roman" w:cs="Times New Roman"/>
        </w:rPr>
      </w:pPr>
      <w:r>
        <w:rPr>
          <w:rFonts w:hint="eastAsia" w:ascii="仿宋_GB2312" w:hAnsi="Times New Roman" w:eastAsia="仿宋_GB2312" w:cs="Times New Roman"/>
          <w:b/>
          <w:bCs/>
          <w:sz w:val="32"/>
          <w:szCs w:val="32"/>
          <w:lang w:val="en-US" w:eastAsia="zh-CN"/>
        </w:rPr>
        <w:t>（六）卫生健康支出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行政事业单位医疗</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公务员医疗补助</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val="en-US" w:eastAsia="zh-CN"/>
        </w:rPr>
        <w:t>反映</w:t>
      </w:r>
      <w:r>
        <w:rPr>
          <w:rFonts w:hint="eastAsia" w:ascii="仿宋_GB2312" w:hAnsi="Times New Roman" w:eastAsia="仿宋_GB2312" w:cs="Times New Roman"/>
          <w:sz w:val="32"/>
          <w:szCs w:val="32"/>
          <w:lang w:eastAsia="zh-CN"/>
        </w:rPr>
        <w:t>财政部门安排的公务员医疗补助经费。</w:t>
      </w:r>
    </w:p>
    <w:p>
      <w:pPr>
        <w:ind w:firstLine="619" w:firstLineChars="200"/>
        <w:rPr>
          <w:rFonts w:hint="eastAsia" w:ascii="仿宋_GB2312" w:hAnsi="仿宋" w:eastAsia="仿宋_GB2312"/>
          <w:b/>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七</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农林水支出（类）农业农村（款）事业运行（项）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反映用于农业事业单位基本支出，事业单位设施、系统运行与资产维护等方面的支出。</w:t>
      </w:r>
    </w:p>
    <w:p>
      <w:pPr>
        <w:ind w:firstLine="619" w:firstLineChars="200"/>
        <w:rPr>
          <w:rFonts w:hint="eastAsia" w:ascii="仿宋_GB2312" w:hAnsi="仿宋" w:eastAsia="仿宋_GB2312"/>
          <w:b/>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八</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农林水支出（类）农业农村（款）其他农业农村支出（项）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反映用于农业事业单位基本支出，事业单位设施、系统运行与资产维护等方面的支出。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Times New Roman" w:hAnsi="Times New Roman" w:cs="Times New Roman"/>
        </w:rPr>
      </w:pPr>
      <w:r>
        <w:rPr>
          <w:rFonts w:hint="eastAsia" w:ascii="仿宋_GB2312" w:hAnsi="Times New Roman" w:eastAsia="仿宋_GB2312" w:cs="Times New Roman"/>
          <w:b/>
          <w:bCs/>
          <w:sz w:val="32"/>
          <w:szCs w:val="32"/>
          <w:lang w:val="en-US" w:eastAsia="zh-CN"/>
        </w:rPr>
        <w:t>（九）住房保障支出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住房改革支出</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住房公积金</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val="en-US" w:eastAsia="zh-CN"/>
        </w:rPr>
        <w:t>反映</w:t>
      </w:r>
      <w:r>
        <w:rPr>
          <w:rFonts w:hint="eastAsia" w:ascii="仿宋_GB2312" w:hAnsi="Times New Roman" w:eastAsia="仿宋_GB2312" w:cs="Times New Roman"/>
          <w:sz w:val="32"/>
          <w:szCs w:val="32"/>
          <w:lang w:eastAsia="zh-CN"/>
        </w:rPr>
        <w:t>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15</w:t>
    </w:r>
    <w:r>
      <w:rPr>
        <w:rStyle w:val="12"/>
      </w:rPr>
      <w:fldChar w:fldCharType="end"/>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3F213A"/>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943664"/>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983D96"/>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4F01436"/>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6025E6"/>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EFA3EC1"/>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365BE4"/>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024A0"/>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A96C56"/>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5B0913"/>
    <w:rsid w:val="79960255"/>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next w:val="1"/>
    <w:qFormat/>
    <w:uiPriority w:val="0"/>
    <w:pPr>
      <w:widowControl/>
      <w:adjustRightInd/>
      <w:spacing w:before="100" w:beforeAutospacing="1" w:after="100" w:afterAutospacing="1" w:line="240" w:lineRule="auto"/>
      <w:jc w:val="left"/>
      <w:outlineLvl w:val="0"/>
    </w:pPr>
    <w:rPr>
      <w:rFonts w:ascii="宋体" w:hAnsi="宋体" w:eastAsia="宋体" w:cs="宋体"/>
      <w:b/>
      <w:bCs/>
      <w:kern w:val="36"/>
      <w:sz w:val="48"/>
      <w:szCs w:val="48"/>
      <w:lang w:val="en-US" w:eastAsia="zh-CN" w:bidi="ar-SA"/>
    </w:rPr>
  </w:style>
  <w:style w:type="character" w:default="1" w:styleId="11">
    <w:name w:val="Default Paragraph Font"/>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rPr>
      <w:rFonts w:ascii="楷体_GB2312" w:eastAsia="楷体_GB2312"/>
      <w:sz w:val="30"/>
      <w:szCs w:val="20"/>
    </w:rPr>
  </w:style>
  <w:style w:type="paragraph" w:styleId="4">
    <w:name w:val="Body Text Indent"/>
    <w:basedOn w:val="1"/>
    <w:next w:val="1"/>
    <w:qFormat/>
    <w:uiPriority w:val="0"/>
    <w:pPr>
      <w:ind w:firstLine="720" w:firstLineChars="225"/>
    </w:pPr>
    <w:rPr>
      <w:rFonts w:ascii="仿宋_GB2312" w:eastAsia="仿宋_GB2312"/>
      <w:bCs/>
      <w:sz w:val="32"/>
      <w:szCs w:val="32"/>
    </w:rPr>
  </w:style>
  <w:style w:type="paragraph" w:styleId="6">
    <w:name w:val="Balloon Text"/>
    <w:basedOn w:val="1"/>
    <w:link w:val="13"/>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character" w:customStyle="1" w:styleId="13">
    <w:name w:val="批注框文本 Char"/>
    <w:link w:val="6"/>
    <w:semiHidden/>
    <w:qFormat/>
    <w:uiPriority w:val="99"/>
    <w:rPr>
      <w:rFonts w:ascii="Times New Roman" w:hAnsi="Times New Roman"/>
      <w:kern w:val="2"/>
      <w:sz w:val="18"/>
      <w:szCs w:val="18"/>
    </w:rPr>
  </w:style>
  <w:style w:type="character" w:customStyle="1" w:styleId="14">
    <w:name w:val="页脚 Char"/>
    <w:link w:val="7"/>
    <w:qFormat/>
    <w:uiPriority w:val="99"/>
    <w:rPr>
      <w:rFonts w:ascii="Times New Roman" w:hAnsi="Times New Roman"/>
      <w:kern w:val="2"/>
      <w:sz w:val="18"/>
      <w:szCs w:val="18"/>
    </w:rPr>
  </w:style>
  <w:style w:type="character" w:customStyle="1" w:styleId="15">
    <w:name w:val="页眉 Char"/>
    <w:link w:val="8"/>
    <w:qFormat/>
    <w:uiPriority w:val="99"/>
    <w:rPr>
      <w:rFonts w:ascii="Times New Roman" w:hAnsi="Times New Roman"/>
      <w:kern w:val="2"/>
      <w:sz w:val="18"/>
      <w:szCs w:val="18"/>
    </w:rPr>
  </w:style>
  <w:style w:type="paragraph" w:styleId="16">
    <w:name w:val="List Paragraph"/>
    <w:basedOn w:val="1"/>
    <w:qFormat/>
    <w:uiPriority w:val="34"/>
    <w:pPr>
      <w:ind w:firstLine="420" w:firstLineChars="200"/>
    </w:pPr>
  </w:style>
  <w:style w:type="paragraph" w:styleId="17">
    <w:name w:val="No Spacing"/>
    <w:link w:val="18"/>
    <w:qFormat/>
    <w:uiPriority w:val="0"/>
    <w:rPr>
      <w:rFonts w:ascii="Calibri" w:hAnsi="Calibri" w:eastAsia="宋体" w:cs="Times New Roman"/>
      <w:sz w:val="22"/>
      <w:szCs w:val="22"/>
      <w:lang w:val="en-US" w:eastAsia="zh-CN" w:bidi="ar-SA"/>
    </w:rPr>
  </w:style>
  <w:style w:type="character" w:customStyle="1" w:styleId="18">
    <w:name w:val="无间隔 Char"/>
    <w:link w:val="17"/>
    <w:qFormat/>
    <w:uiPriority w:val="0"/>
    <w:rPr>
      <w:sz w:val="22"/>
      <w:szCs w:val="22"/>
      <w:lang w:bidi="ar-SA"/>
    </w:rPr>
  </w:style>
  <w:style w:type="paragraph" w:customStyle="1" w:styleId="19">
    <w:name w:val="正文1"/>
    <w:basedOn w:val="1"/>
    <w:qFormat/>
    <w:uiPriority w:val="0"/>
    <w:pPr>
      <w:widowControl/>
    </w:pPr>
    <w:rPr>
      <w:rFonts w:eastAsia="Times New Roman"/>
      <w:kern w:val="0"/>
      <w:lang w:val="zh-CN"/>
    </w:rPr>
  </w:style>
  <w:style w:type="character" w:customStyle="1" w:styleId="20">
    <w:name w:val="font2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6225</Words>
  <Characters>7535</Characters>
  <Lines>43</Lines>
  <Paragraphs>12</Paragraphs>
  <TotalTime>1</TotalTime>
  <ScaleCrop>false</ScaleCrop>
  <LinksUpToDate>false</LinksUpToDate>
  <CharactersWithSpaces>7640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2023-06-08T08:16:33Z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5A3547F0B48B4488B0E9011B1C54C670_13</vt:lpwstr>
  </property>
</Properties>
</file>