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rPr>
          <w:trHeight w:val="2880" w:hRule="atLeast"/>
          <w:jc w:val="center"/>
        </w:trPr>
        <w:tc>
          <w:tcPr>
            <w:tcW w:w="5000" w:type="pct"/>
          </w:tcPr>
          <w:p>
            <w:pPr>
              <w:pStyle w:val="13"/>
              <w:rPr>
                <w:rFonts w:ascii="仿宋_GB2312" w:hAnsi="Cambria" w:eastAsia="仿宋_GB2312"/>
                <w:caps/>
                <w:sz w:val="28"/>
                <w:szCs w:val="28"/>
              </w:rPr>
            </w:pPr>
          </w:p>
        </w:tc>
      </w:tr>
      <w:tr>
        <w:trPr>
          <w:trHeight w:val="1440" w:hRule="atLeast"/>
          <w:jc w:val="center"/>
        </w:trPr>
        <w:tc>
          <w:tcPr>
            <w:tcW w:w="5000" w:type="pct"/>
            <w:tcBorders>
              <w:bottom w:val="single" w:color="4F81BD" w:sz="4" w:space="0"/>
            </w:tcBorders>
            <w:vAlign w:val="center"/>
          </w:tcPr>
          <w:p>
            <w:pPr>
              <w:pStyle w:val="13"/>
              <w:jc w:val="center"/>
              <w:rPr>
                <w:rFonts w:ascii="Cambria" w:hAnsi="Cambria"/>
                <w:b/>
                <w:sz w:val="80"/>
                <w:szCs w:val="80"/>
              </w:rPr>
            </w:pPr>
            <w:r>
              <w:rPr>
                <w:rFonts w:hint="eastAsia" w:ascii="Cambria" w:hAnsi="Cambria"/>
                <w:b/>
                <w:sz w:val="80"/>
                <w:szCs w:val="80"/>
              </w:rPr>
              <w:t>湟源县中医院</w:t>
            </w:r>
          </w:p>
        </w:tc>
      </w:tr>
      <w:tr>
        <w:trPr>
          <w:trHeight w:val="720" w:hRule="atLeast"/>
          <w:jc w:val="center"/>
        </w:trPr>
        <w:tc>
          <w:tcPr>
            <w:tcW w:w="5000" w:type="pct"/>
            <w:tcBorders>
              <w:top w:val="single" w:color="4F81BD" w:sz="4" w:space="0"/>
            </w:tcBorders>
            <w:vAlign w:val="center"/>
          </w:tcPr>
          <w:p>
            <w:pPr>
              <w:pStyle w:val="13"/>
              <w:jc w:val="center"/>
              <w:rPr>
                <w:rFonts w:ascii="Cambria" w:hAnsi="Cambria"/>
                <w:sz w:val="44"/>
                <w:szCs w:val="44"/>
              </w:rPr>
            </w:pPr>
          </w:p>
        </w:tc>
      </w:tr>
      <w:tr>
        <w:trPr>
          <w:trHeight w:val="360" w:hRule="atLeast"/>
          <w:jc w:val="center"/>
        </w:trPr>
        <w:tc>
          <w:tcPr>
            <w:tcW w:w="5000" w:type="pct"/>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（一）为群众提供中西医医疗、预防、保健、计划生育、康复等医疗卫生服务。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（二）贯彻落实医药卫生体制改革、中西医并重方针和国家中医药法律法规，执行中医药政策；拟定实施中医药、民族医药和中西医结合发展战略、规划；指导全县各医疗机构发展中医药和中西医结合业务建设。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（三）确保全县人民中西医疗健康需求，建立与地方经济发展相适应的中西医结合医疗环境。加强医院标准化管理。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贯彻落实国家基本药物制度和药品集中采购工作，执行医用耗材集中采购工作；负责医院内部的药品和医疗器械管理工作。承担意外灾害事故、疫情等突发公共卫生事件的医疗急救及社区预防、保健和康复医疗服务工作。承担体检工作，开展各种医疗保健卫生知识宣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（五）组织实施中西医药科学研究，推进医学科技成果转化和推广应用；承担中医药人才培养，中医药继续医学教育工作。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（六）做好城镇职工医疗保险、城乡居民医疗保险等定点医疗机构的各项工作。参与卫生扶贫、重要会议与重大活动的医疗卫生保障工作。承担上级部门及县卫健局交办的其他卫生工作。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纳入202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编制范围的预算单位共计1个，具体为：青海省西宁市湟源县中医院</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我单位内设机构1个，具体为：湟源县中医院为二级甲等</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中医院，无下级预算单位。我单位内设</w:t>
      </w:r>
      <w:r>
        <w:rPr>
          <w:rFonts w:hint="eastAsia" w:ascii="仿宋_GB2312" w:hAnsi="仿宋_GB2312" w:eastAsia="仿宋_GB2312" w:cs="仿宋_GB2312"/>
          <w:sz w:val="32"/>
          <w:szCs w:val="32"/>
          <w:lang w:eastAsia="zh-CN"/>
        </w:rPr>
        <w:t>科室有：</w:t>
      </w:r>
      <w:r>
        <w:rPr>
          <w:rFonts w:hint="eastAsia" w:ascii="仿宋_GB2312" w:hAnsi="仿宋_GB2312" w:eastAsia="仿宋_GB2312" w:cs="仿宋_GB2312"/>
          <w:sz w:val="32"/>
          <w:szCs w:val="32"/>
          <w:lang w:val="en-US" w:eastAsia="zh-CN"/>
        </w:rPr>
        <w:t>党建办、医院办公室、医务科、药剂科、西药房、中药房、财务科、收费室、总务科、信息科、护理部、院感科、门诊、针灸康复科、妇科、肺病科脾胃科、心肾科糖尿病科、外科、放射科、功能检查科、医学检验科、碎石科、供应室、手术室。</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rPr>
        <w:t>纳入</w:t>
      </w:r>
      <w:r>
        <w:rPr>
          <w:rFonts w:hint="eastAsia" w:ascii="仿宋_GB2312" w:hAnsi="仿宋_GB2312" w:eastAsia="仿宋_GB2312" w:cs="仿宋_GB2312"/>
          <w:color w:val="000000"/>
          <w:sz w:val="32"/>
          <w:szCs w:val="32"/>
          <w:lang w:eastAsia="zh-CN"/>
        </w:rPr>
        <w:t>湟源县中医院</w:t>
      </w:r>
      <w:r>
        <w:rPr>
          <w:rFonts w:hint="eastAsia" w:ascii="仿宋_GB2312" w:hAnsi="仿宋_GB2312" w:eastAsia="仿宋_GB2312" w:cs="仿宋_GB2312"/>
          <w:color w:val="000000"/>
          <w:sz w:val="32"/>
          <w:szCs w:val="32"/>
        </w:rPr>
        <w:t>部门</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sz w:val="32"/>
          <w:szCs w:val="32"/>
        </w:rPr>
        <w:t>年部门预算编制范围的二级预算</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6328" w:type="dxa"/>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328" w:type="dxa"/>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tc>
      </w:tr>
    </w:tbl>
    <w:p>
      <w:pPr>
        <w:adjustRightInd w:val="0"/>
        <w:snapToGrid w:val="0"/>
        <w:spacing w:line="560" w:lineRule="exact"/>
        <w:jc w:val="both"/>
        <w:rPr>
          <w:rFonts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1450.02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264.08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1091.03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102.07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1450.02</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1457.18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7.16</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1457.18</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1457.18</w:t>
            </w:r>
          </w:p>
        </w:tc>
      </w:tr>
    </w:tbl>
    <w:tbl>
      <w:tblPr>
        <w:tblStyle w:val="6"/>
        <w:tblpPr w:leftFromText="180" w:rightFromText="180" w:vertAnchor="text" w:horzAnchor="page" w:tblpXSpec="center" w:tblpY="618"/>
        <w:tblOverlap w:val="never"/>
        <w:tblW w:w="11307" w:type="dxa"/>
        <w:jc w:val="center"/>
        <w:tblLayout w:type="fixed"/>
        <w:tblCellMar>
          <w:top w:w="0" w:type="dxa"/>
          <w:left w:w="108" w:type="dxa"/>
          <w:bottom w:w="0" w:type="dxa"/>
          <w:right w:w="108" w:type="dxa"/>
        </w:tblCellMar>
      </w:tblPr>
      <w:tblGrid>
        <w:gridCol w:w="965"/>
        <w:gridCol w:w="968"/>
        <w:gridCol w:w="1083"/>
        <w:gridCol w:w="1084"/>
        <w:gridCol w:w="914"/>
        <w:gridCol w:w="914"/>
        <w:gridCol w:w="914"/>
        <w:gridCol w:w="914"/>
        <w:gridCol w:w="914"/>
        <w:gridCol w:w="914"/>
        <w:gridCol w:w="914"/>
        <w:gridCol w:w="809"/>
      </w:tblGrid>
      <w:tr>
        <w:tblPrEx>
          <w:tblCellMar>
            <w:top w:w="0" w:type="dxa"/>
            <w:left w:w="108" w:type="dxa"/>
            <w:bottom w:w="0" w:type="dxa"/>
            <w:right w:w="108" w:type="dxa"/>
          </w:tblCellMar>
        </w:tblPrEx>
        <w:trPr>
          <w:trHeight w:val="392" w:hRule="atLeast"/>
          <w:jc w:val="center"/>
        </w:trPr>
        <w:tc>
          <w:tcPr>
            <w:tcW w:w="11307"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0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07"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6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1457.18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7.16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1450.02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湟源县卫生健康局</w:t>
            </w:r>
          </w:p>
        </w:tc>
        <w:tc>
          <w:tcPr>
            <w:tcW w:w="96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1457.18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7.16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1450.02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湟源县中医院</w:t>
            </w:r>
          </w:p>
        </w:tc>
        <w:tc>
          <w:tcPr>
            <w:tcW w:w="96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1457.18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7.16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1450.02</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8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341" w:type="dxa"/>
        <w:jc w:val="center"/>
        <w:tblLayout w:type="fixed"/>
        <w:tblCellMar>
          <w:top w:w="0" w:type="dxa"/>
          <w:left w:w="108" w:type="dxa"/>
          <w:bottom w:w="0" w:type="dxa"/>
          <w:right w:w="108" w:type="dxa"/>
        </w:tblCellMar>
      </w:tblPr>
      <w:tblGrid>
        <w:gridCol w:w="992"/>
        <w:gridCol w:w="3828"/>
        <w:gridCol w:w="1086"/>
        <w:gridCol w:w="1087"/>
        <w:gridCol w:w="1087"/>
        <w:gridCol w:w="1087"/>
        <w:gridCol w:w="1087"/>
        <w:gridCol w:w="1087"/>
      </w:tblGrid>
      <w:tr>
        <w:tblPrEx>
          <w:tblCellMar>
            <w:top w:w="0" w:type="dxa"/>
            <w:left w:w="108" w:type="dxa"/>
            <w:bottom w:w="0" w:type="dxa"/>
            <w:right w:w="108" w:type="dxa"/>
          </w:tblCellMar>
        </w:tblPrEx>
        <w:trPr>
          <w:trHeight w:val="187" w:hRule="atLeast"/>
          <w:jc w:val="center"/>
        </w:trPr>
        <w:tc>
          <w:tcPr>
            <w:tcW w:w="11341"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41"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41"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82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1457.18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1420.02</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37.16</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264.08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264.08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260.91</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260.91</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108.98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108.98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54.49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54.49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97.43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97.43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1091.03</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1053.87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37.16</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21002</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公立医院</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941.28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921.28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2100202</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中医（民族）医院</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941.28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921.28</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20.00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21004</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公共卫生</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2100499</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其他公共卫生支出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21006</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中医药</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7.16</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7.16</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2100601</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中医（民族医）药专项</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7.16</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7.16</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132.59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132.59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81.90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81.90</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50.69</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102.07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102.07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102.07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102.07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2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8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102.07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102.07</w:t>
            </w: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021"/>
        <w:gridCol w:w="1751"/>
        <w:gridCol w:w="1313"/>
        <w:gridCol w:w="1267"/>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34"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634"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634"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6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2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1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3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2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1450.02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31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1457.18</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1457.18</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2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1450.02</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31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264.08</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264.08</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31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1091.03</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1091.03</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31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2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2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7.16</w:t>
            </w:r>
          </w:p>
        </w:tc>
        <w:tc>
          <w:tcPr>
            <w:tcW w:w="1751" w:type="dxa"/>
            <w:shd w:val="clear" w:color="auto" w:fill="FFFFFF"/>
            <w:noWrap/>
            <w:vAlign w:val="center"/>
          </w:tcPr>
          <w:p>
            <w:pPr>
              <w:widowControl/>
              <w:jc w:val="left"/>
              <w:rPr>
                <w:rFonts w:ascii="宋体" w:hAnsi="宋体" w:cs="宋体"/>
                <w:kern w:val="0"/>
                <w:sz w:val="20"/>
              </w:rPr>
            </w:pP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21"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13" w:type="dxa"/>
            <w:shd w:val="clear" w:color="auto" w:fill="FFFFFF"/>
            <w:noWrap/>
            <w:vAlign w:val="center"/>
          </w:tcPr>
          <w:p>
            <w:pPr>
              <w:widowControl/>
              <w:jc w:val="center"/>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39"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4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21"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1457.18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313"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1457.18</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1457.18</w:t>
            </w:r>
          </w:p>
        </w:tc>
        <w:tc>
          <w:tcPr>
            <w:tcW w:w="1339"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tblInd w:w="0" w:type="dxa"/>
        <w:tblLayout w:type="fixed"/>
        <w:tblCellMar>
          <w:top w:w="0" w:type="dxa"/>
          <w:left w:w="108" w:type="dxa"/>
          <w:bottom w:w="0" w:type="dxa"/>
          <w:right w:w="108" w:type="dxa"/>
        </w:tblCellMar>
      </w:tblPr>
      <w:tblGrid>
        <w:gridCol w:w="749"/>
        <w:gridCol w:w="749"/>
        <w:gridCol w:w="751"/>
        <w:gridCol w:w="3529"/>
        <w:gridCol w:w="1477"/>
        <w:gridCol w:w="1477"/>
        <w:gridCol w:w="1477"/>
      </w:tblGrid>
      <w:tr>
        <w:tblPrEx>
          <w:tblCellMar>
            <w:top w:w="0" w:type="dxa"/>
            <w:left w:w="108" w:type="dxa"/>
            <w:bottom w:w="0" w:type="dxa"/>
            <w:right w:w="108" w:type="dxa"/>
          </w:tblCellMar>
        </w:tblPrEx>
        <w:trPr>
          <w:trHeight w:val="210" w:hRule="atLeast"/>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trPr>
        <w:tc>
          <w:tcPr>
            <w:tcW w:w="577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3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trPr>
        <w:tc>
          <w:tcPr>
            <w:tcW w:w="5778"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1450.02</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1420.02</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264.08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264.08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260.91</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260.91</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108.98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108.98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54.49</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54.49</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97.43</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97.43</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1083.87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1053.87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公立医院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941.28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921.28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中医（民族）医院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941.28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921.28</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公共卫生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其他公共卫生支出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w:t>
            </w: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132.59</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132.59</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81.90</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81.90</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50.69</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50.69</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2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102.07</w:t>
            </w:r>
          </w:p>
        </w:tc>
        <w:tc>
          <w:tcPr>
            <w:tcW w:w="14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2864"/>
        <w:gridCol w:w="2360"/>
        <w:gridCol w:w="2360"/>
        <w:gridCol w:w="236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4"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1420.02</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1395.02</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1256.96</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1256.96</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243.70</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243.70</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256.78</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256.78</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373.30</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373.30</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108.98</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108.98</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54.49</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54.49</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41.27</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41.27</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50.69</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50.69</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3.17</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3.17</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102.07</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102.07</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其他工资福利支出</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22.50</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22.50</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25.00</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25.00</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25.00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138.06</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138.06</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95.74</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95.74</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40.63</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40.63</w:t>
            </w: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2864"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其他对个人和家庭的补助</w:t>
            </w: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6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61"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cs="宋体"/>
                <w:b/>
                <w:bCs/>
                <w:color w:val="000000"/>
                <w:kern w:val="0"/>
                <w:sz w:val="22"/>
                <w:szCs w:val="22"/>
              </w:rPr>
            </w:pPr>
          </w:p>
        </w:tc>
        <w:tc>
          <w:tcPr>
            <w:tcW w:w="965" w:type="dxa"/>
            <w:vAlign w:val="center"/>
          </w:tcPr>
          <w:p>
            <w:pPr>
              <w:widowControl/>
              <w:jc w:val="center"/>
              <w:rPr>
                <w:rFonts w:hint="eastAsia" w:ascii="宋体" w:hAnsi="宋体" w:cs="宋体"/>
                <w:b/>
                <w:bCs/>
                <w:color w:val="000000"/>
                <w:kern w:val="0"/>
                <w:sz w:val="22"/>
                <w:szCs w:val="22"/>
              </w:rPr>
            </w:pPr>
          </w:p>
        </w:tc>
        <w:tc>
          <w:tcPr>
            <w:tcW w:w="965" w:type="dxa"/>
            <w:vAlign w:val="center"/>
          </w:tcPr>
          <w:p>
            <w:pPr>
              <w:widowControl/>
              <w:jc w:val="center"/>
              <w:rPr>
                <w:rFonts w:hint="eastAsia"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hint="eastAsia" w:ascii="宋体" w:hAnsi="宋体" w:cs="宋体"/>
                <w:b/>
                <w:bCs/>
                <w:color w:val="000000"/>
                <w:kern w:val="0"/>
                <w:sz w:val="22"/>
                <w:szCs w:val="22"/>
              </w:rPr>
            </w:pPr>
          </w:p>
        </w:tc>
        <w:tc>
          <w:tcPr>
            <w:tcW w:w="965" w:type="dxa"/>
            <w:vAlign w:val="center"/>
          </w:tcPr>
          <w:p>
            <w:pPr>
              <w:widowControl/>
              <w:jc w:val="center"/>
              <w:rPr>
                <w:rFonts w:hint="eastAsia" w:ascii="宋体" w:hAnsi="宋体" w:cs="宋体"/>
                <w:b/>
                <w:bCs/>
                <w:color w:val="000000"/>
                <w:kern w:val="0"/>
                <w:sz w:val="22"/>
                <w:szCs w:val="22"/>
              </w:rPr>
            </w:pPr>
          </w:p>
        </w:tc>
        <w:tc>
          <w:tcPr>
            <w:tcW w:w="965" w:type="dxa"/>
            <w:vAlign w:val="center"/>
          </w:tcPr>
          <w:p>
            <w:pPr>
              <w:widowControl/>
              <w:jc w:val="center"/>
              <w:rPr>
                <w:rFonts w:hint="eastAsia" w:ascii="宋体" w:hAnsi="宋体" w:cs="宋体"/>
                <w:b/>
                <w:bCs/>
                <w:color w:val="000000"/>
                <w:kern w:val="0"/>
                <w:sz w:val="22"/>
                <w:szCs w:val="22"/>
              </w:rPr>
            </w:pPr>
          </w:p>
        </w:tc>
        <w:tc>
          <w:tcPr>
            <w:tcW w:w="972" w:type="dxa"/>
            <w:vAlign w:val="center"/>
          </w:tcPr>
          <w:p>
            <w:pPr>
              <w:widowControl/>
              <w:jc w:val="left"/>
              <w:rPr>
                <w:rFonts w:ascii="宋体" w:hAnsi="宋体" w:cs="宋体"/>
                <w:b/>
                <w:bCs/>
                <w:color w:val="000000"/>
                <w:kern w:val="0"/>
                <w:sz w:val="22"/>
                <w:szCs w:val="22"/>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一、关于湟源县中医院2023年部门收支预算情况的总体说明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中医院所有收入和支出均纳入部门预算管理。收入包括：一般公共预算拨款收入1450.02万元，上年结转7.16万元；支出包括：社会保障和就业支出264.08万元，卫生健康支出1091.03万元，住房保障支出102.07万元。湟源县中医院2023年收支总预算1457.18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二、关于湟源县中医院2023年部门收入预算情况说明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湟源县中医院2023年收入预算1457.18万元，其中：上年结转7.16万元，占0.49%；一般公共预算拨款收入1450.02万元，占99.51%。</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51.7pt;width:329.45pt;" filled="f" o:preferrelative="t" stroked="f" coordsize="21600,21600">
            <v:path/>
            <v:fill on="f" focussize="0,0"/>
            <v:stroke on="f"/>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三、关于湟源县中医院2023年部门支出预算情况说明</w:t>
      </w:r>
    </w:p>
    <w:p>
      <w:pPr>
        <w:ind w:firstLine="645"/>
        <w:rPr>
          <w:rFonts w:ascii="仿宋_GB2312" w:eastAsia="仿宋_GB2312"/>
          <w:sz w:val="32"/>
          <w:szCs w:val="32"/>
        </w:rPr>
      </w:pPr>
      <w:r>
        <w:rPr>
          <w:rFonts w:hint="eastAsia" w:ascii="仿宋_GB2312" w:eastAsia="仿宋_GB2312"/>
          <w:sz w:val="32"/>
          <w:szCs w:val="32"/>
        </w:rPr>
        <w:t>湟源县中医院2023年支出预算1457.18万元，其中：基本支出1420.02万元，占97.45%；项目支出37.16万元，占2.55%。</w:t>
      </w:r>
    </w:p>
    <w:p>
      <w:pPr>
        <w:ind w:firstLine="645"/>
        <w:rPr>
          <w:rFonts w:ascii="仿宋_GB2312" w:eastAsia="仿宋_GB2312"/>
          <w:sz w:val="32"/>
          <w:szCs w:val="32"/>
        </w:rPr>
      </w:pPr>
      <w:r>
        <w:rPr>
          <w:rFonts w:ascii="仿宋_GB2312" w:eastAsia="仿宋_GB2312"/>
          <w:sz w:val="32"/>
          <w:szCs w:val="32"/>
        </w:rPr>
        <w:pict>
          <v:shape id="_x0000_i1026" o:spt="75" type="#_x0000_t75" style="height:160.55pt;width:348.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四、关于湟源县中医院2023年财政拨款收支预算情况的总体说明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湟源县中医院2023年财政拨款收支总预算1457.18万元，比上年增加135.31万元，主要是</w:t>
      </w:r>
      <w:r>
        <w:rPr>
          <w:rFonts w:hint="eastAsia" w:ascii="仿宋_GB2312" w:eastAsia="仿宋_GB2312"/>
          <w:sz w:val="32"/>
          <w:szCs w:val="32"/>
          <w:lang w:eastAsia="zh-CN"/>
        </w:rPr>
        <w:t>本年人员工资增资及社会保险费的增加</w:t>
      </w:r>
      <w:r>
        <w:rPr>
          <w:rFonts w:hint="eastAsia" w:ascii="仿宋_GB2312" w:eastAsia="仿宋_GB2312"/>
          <w:sz w:val="32"/>
          <w:szCs w:val="32"/>
        </w:rPr>
        <w:t>。收入包括：一般公共预算拨款收入1450.02万元，上年结转7.16万元；政府性基金预算拨款收入0.00万元，上年结转0.00万元。支出包括： 社会保障和就业支出264.08万元， 卫生健康支出1091.03万元， 住房保障支出102.07万元。</w:t>
      </w:r>
    </w:p>
    <w:p>
      <w:pPr>
        <w:ind w:firstLine="645"/>
        <w:rPr>
          <w:rFonts w:ascii="仿宋_GB2312" w:eastAsia="仿宋_GB2312"/>
          <w:sz w:val="32"/>
          <w:szCs w:val="32"/>
        </w:rPr>
      </w:pPr>
      <w:r>
        <w:rPr>
          <w:rFonts w:ascii="仿宋_GB2312" w:eastAsia="仿宋_GB2312"/>
          <w:sz w:val="32"/>
          <w:szCs w:val="32"/>
        </w:rPr>
        <w:drawing>
          <wp:inline distT="0" distB="0" distL="114300" distR="114300">
            <wp:extent cx="4533265" cy="208661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9"/>
                    <a:stretch>
                      <a:fillRect/>
                    </a:stretch>
                  </pic:blipFill>
                  <pic:spPr>
                    <a:xfrm>
                      <a:off x="0" y="0"/>
                      <a:ext cx="4533265" cy="2086610"/>
                    </a:xfrm>
                    <a:prstGeom prst="rect">
                      <a:avLst/>
                    </a:prstGeom>
                    <a:noFill/>
                    <a:ln>
                      <a:noFill/>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五、关于湟源县中医院2023年一般公共预算当年拨款情况说明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湟源县中医院2023年一般公共预算当年拨款1450.02万元,比上年增加128.15万元，主要是</w:t>
      </w:r>
      <w:r>
        <w:rPr>
          <w:rFonts w:hint="eastAsia" w:ascii="仿宋_GB2312" w:eastAsia="仿宋_GB2312"/>
          <w:sz w:val="32"/>
          <w:szCs w:val="32"/>
          <w:lang w:eastAsia="zh-CN"/>
        </w:rPr>
        <w:t>人员工资增加等原因致使本年</w:t>
      </w:r>
      <w:r>
        <w:rPr>
          <w:rFonts w:hint="eastAsia" w:ascii="仿宋_GB2312" w:eastAsia="仿宋_GB2312"/>
          <w:sz w:val="32"/>
          <w:szCs w:val="32"/>
        </w:rPr>
        <w:t>一般公共预算</w:t>
      </w:r>
      <w:r>
        <w:rPr>
          <w:rFonts w:hint="eastAsia" w:ascii="仿宋_GB2312" w:eastAsia="仿宋_GB2312"/>
          <w:sz w:val="32"/>
          <w:szCs w:val="32"/>
          <w:lang w:eastAsia="zh-CN"/>
        </w:rPr>
        <w:t>较上年有所增加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pict>
          <v:shape id="_x0000_i1027" o:spt="75" type="#_x0000_t75" style="height:122.45pt;width:357.3pt;" filled="f" o:preferrelative="t" stroked="f" coordsize="21600,21600">
            <v:path/>
            <v:fill on="f" focussize="0,0"/>
            <v:stroke on="f"/>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社会保障和就业支出264.08万元，占18.21%；卫生健康支出1083.87万元，占74.75%；住房保障支出102.07万元，占7.04%。</w:t>
      </w:r>
    </w:p>
    <w:p>
      <w:pPr>
        <w:ind w:firstLine="645"/>
        <w:rPr>
          <w:rFonts w:ascii="仿宋_GB2312" w:eastAsia="仿宋_GB2312"/>
          <w:sz w:val="32"/>
          <w:szCs w:val="32"/>
        </w:rPr>
      </w:pPr>
      <w:r>
        <w:rPr>
          <w:rFonts w:ascii="仿宋_GB2312" w:eastAsia="仿宋_GB2312"/>
          <w:sz w:val="32"/>
          <w:szCs w:val="32"/>
        </w:rPr>
        <w:pict>
          <v:shape id="_x0000_i1028" o:spt="75" type="#_x0000_t75" style="height:155.95pt;width:338.95pt;" filled="f" o:preferrelative="t" stroked="f" coordsize="21600,21600">
            <v:path/>
            <v:fill on="f" focussize="0,0"/>
            <v:stroke on="f"/>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eastAsia="zh-CN"/>
        </w:rPr>
      </w:pPr>
      <w:r>
        <w:rPr>
          <w:rFonts w:hint="eastAsia" w:ascii="仿宋_GB2312" w:eastAsia="仿宋_GB2312"/>
          <w:sz w:val="32"/>
          <w:szCs w:val="32"/>
        </w:rPr>
        <w:t>1、社会保障和就业支出（类）行政事业单位养老支出（款）机关事业单位基本养老保险缴费支出（项）2023年预算数为108.98万元，比上年增加23.03万元，增长26.79%。主要是</w:t>
      </w:r>
      <w:r>
        <w:rPr>
          <w:rFonts w:hint="eastAsia" w:ascii="仿宋_GB2312" w:eastAsia="仿宋_GB2312"/>
          <w:sz w:val="32"/>
          <w:szCs w:val="32"/>
          <w:lang w:eastAsia="zh-CN"/>
        </w:rPr>
        <w:t>人员增资致使缴费基数增加，故</w:t>
      </w:r>
      <w:r>
        <w:rPr>
          <w:rFonts w:hint="eastAsia" w:ascii="仿宋_GB2312" w:eastAsia="仿宋_GB2312"/>
          <w:sz w:val="32"/>
          <w:szCs w:val="32"/>
        </w:rPr>
        <w:t>社会保障和就业支出（类）行政事业单位养老支出（款）机关事业单位基本养老保险缴费支出（项）2023年预算数</w:t>
      </w:r>
      <w:r>
        <w:rPr>
          <w:rFonts w:hint="eastAsia" w:ascii="仿宋_GB2312" w:eastAsia="仿宋_GB2312"/>
          <w:sz w:val="32"/>
          <w:szCs w:val="32"/>
          <w:lang w:eastAsia="zh-CN"/>
        </w:rPr>
        <w:t>较上年有所增加。</w:t>
      </w:r>
    </w:p>
    <w:p>
      <w:pPr>
        <w:ind w:firstLine="645"/>
        <w:rPr>
          <w:rFonts w:hint="eastAsia" w:ascii="仿宋_GB2312" w:eastAsia="仿宋_GB2312"/>
          <w:sz w:val="32"/>
          <w:szCs w:val="32"/>
          <w:lang w:eastAsia="zh-CN"/>
        </w:rPr>
      </w:pPr>
      <w:r>
        <w:rPr>
          <w:rFonts w:hint="eastAsia" w:ascii="仿宋_GB2312" w:eastAsia="仿宋_GB2312"/>
          <w:sz w:val="32"/>
          <w:szCs w:val="32"/>
        </w:rPr>
        <w:t>2、社会保障和就业支出（类）行政事业单位养老支出（款）机关事业单位职业年金缴费支出（项）2023年预算数为54.49万元，比上年增加11.51万元，增长26.78%。主要是</w:t>
      </w:r>
      <w:r>
        <w:rPr>
          <w:rFonts w:hint="eastAsia" w:ascii="仿宋_GB2312" w:eastAsia="仿宋_GB2312"/>
          <w:sz w:val="32"/>
          <w:szCs w:val="32"/>
          <w:lang w:eastAsia="zh-CN"/>
        </w:rPr>
        <w:t>人员增资所致缴费基数增加，故</w:t>
      </w:r>
      <w:r>
        <w:rPr>
          <w:rFonts w:hint="eastAsia" w:ascii="仿宋_GB2312" w:eastAsia="仿宋_GB2312"/>
          <w:sz w:val="32"/>
          <w:szCs w:val="32"/>
        </w:rPr>
        <w:t>社会保障和就业支出（类）行政事业单位养老支出（款）机关事业单位职业年金缴费支出（项）2023年预算数</w:t>
      </w:r>
      <w:r>
        <w:rPr>
          <w:rFonts w:hint="eastAsia" w:ascii="仿宋_GB2312" w:eastAsia="仿宋_GB2312"/>
          <w:sz w:val="32"/>
          <w:szCs w:val="32"/>
          <w:lang w:eastAsia="zh-CN"/>
        </w:rPr>
        <w:t>较上年有所增加。</w:t>
      </w:r>
    </w:p>
    <w:p>
      <w:pPr>
        <w:ind w:firstLine="645"/>
        <w:rPr>
          <w:rFonts w:hint="eastAsia" w:ascii="仿宋_GB2312" w:eastAsia="仿宋_GB2312"/>
          <w:sz w:val="32"/>
          <w:szCs w:val="32"/>
          <w:lang w:eastAsia="zh-CN"/>
        </w:rPr>
      </w:pPr>
      <w:r>
        <w:rPr>
          <w:rFonts w:hint="eastAsia" w:ascii="仿宋_GB2312" w:eastAsia="仿宋_GB2312"/>
          <w:sz w:val="32"/>
          <w:szCs w:val="32"/>
        </w:rPr>
        <w:t>3、社会保障和就业支出（类）行政事业单位养老支出（款）其他行政事业单位养老支出（项）2023年预算数为97.43万元，比上年增加6.42万元，增长7.05%。主要是</w:t>
      </w:r>
      <w:r>
        <w:rPr>
          <w:rFonts w:hint="eastAsia" w:ascii="仿宋_GB2312" w:eastAsia="仿宋_GB2312"/>
          <w:sz w:val="32"/>
          <w:szCs w:val="32"/>
          <w:lang w:eastAsia="zh-CN"/>
        </w:rPr>
        <w:t>人员增资所致缴费基数增加，</w:t>
      </w:r>
      <w:r>
        <w:rPr>
          <w:rFonts w:hint="eastAsia" w:ascii="仿宋_GB2312" w:eastAsia="仿宋_GB2312"/>
          <w:sz w:val="32"/>
          <w:szCs w:val="32"/>
        </w:rPr>
        <w:t>社会保障和就业支出（类）行政事业单位养老支出（款）其他行政事业单位养老支出（项）2023年预算数</w:t>
      </w:r>
      <w:r>
        <w:rPr>
          <w:rFonts w:hint="eastAsia" w:ascii="仿宋_GB2312" w:eastAsia="仿宋_GB2312"/>
          <w:sz w:val="32"/>
          <w:szCs w:val="32"/>
          <w:lang w:eastAsia="zh-CN"/>
        </w:rPr>
        <w:t>较上年有所增加。</w:t>
      </w:r>
    </w:p>
    <w:p>
      <w:pPr>
        <w:ind w:firstLine="645"/>
        <w:rPr>
          <w:rFonts w:hint="eastAsia" w:ascii="仿宋_GB2312" w:eastAsia="仿宋_GB2312"/>
          <w:sz w:val="32"/>
          <w:szCs w:val="32"/>
          <w:lang w:eastAsia="zh-CN"/>
        </w:rPr>
      </w:pPr>
      <w:r>
        <w:rPr>
          <w:rFonts w:hint="eastAsia" w:ascii="仿宋_GB2312" w:eastAsia="仿宋_GB2312"/>
          <w:sz w:val="32"/>
          <w:szCs w:val="32"/>
        </w:rPr>
        <w:t>4、社会保障和就业支出（类）其他社会保障和就业支出（款）其他社会保障和就业支出（项）2023年预算数为3.17万元，比上年减少2.58万元，下降44.87%。主要是</w:t>
      </w:r>
      <w:r>
        <w:rPr>
          <w:rFonts w:hint="eastAsia" w:ascii="仿宋_GB2312" w:eastAsia="仿宋_GB2312"/>
          <w:sz w:val="32"/>
          <w:szCs w:val="32"/>
          <w:lang w:eastAsia="zh-CN"/>
        </w:rPr>
        <w:t>上年预算数较大所致，故</w:t>
      </w:r>
      <w:r>
        <w:rPr>
          <w:rFonts w:hint="eastAsia" w:ascii="仿宋_GB2312" w:eastAsia="仿宋_GB2312"/>
          <w:sz w:val="32"/>
          <w:szCs w:val="32"/>
        </w:rPr>
        <w:t>社会保障和就业支出（类）其他社会保障和就业支出（款）其他社会保障和就业支出（项）2023年预算数</w:t>
      </w:r>
      <w:r>
        <w:rPr>
          <w:rFonts w:hint="eastAsia" w:ascii="仿宋_GB2312" w:eastAsia="仿宋_GB2312"/>
          <w:sz w:val="32"/>
          <w:szCs w:val="32"/>
          <w:lang w:eastAsia="zh-CN"/>
        </w:rPr>
        <w:t>较上年有所增加。</w:t>
      </w:r>
    </w:p>
    <w:p>
      <w:pPr>
        <w:ind w:firstLine="645"/>
        <w:rPr>
          <w:rFonts w:hint="eastAsia" w:ascii="仿宋_GB2312" w:eastAsia="仿宋_GB2312"/>
          <w:sz w:val="32"/>
          <w:szCs w:val="32"/>
          <w:lang w:eastAsia="zh-CN"/>
        </w:rPr>
      </w:pPr>
      <w:r>
        <w:rPr>
          <w:rFonts w:hint="eastAsia" w:ascii="仿宋_GB2312" w:eastAsia="仿宋_GB2312"/>
          <w:sz w:val="32"/>
          <w:szCs w:val="32"/>
        </w:rPr>
        <w:t>5、卫生健康支出（类）公立医院（款）中医（民族）医院（项）2023年预算数为941.28万元，比上年增加58.10万元，增长6.58%。主要是</w:t>
      </w:r>
      <w:r>
        <w:rPr>
          <w:rFonts w:hint="eastAsia" w:ascii="仿宋_GB2312" w:eastAsia="仿宋_GB2312"/>
          <w:sz w:val="32"/>
          <w:szCs w:val="32"/>
          <w:lang w:eastAsia="zh-CN"/>
        </w:rPr>
        <w:t>人员增资等原因，致使</w:t>
      </w:r>
      <w:r>
        <w:rPr>
          <w:rFonts w:hint="eastAsia" w:ascii="仿宋_GB2312" w:eastAsia="仿宋_GB2312"/>
          <w:sz w:val="32"/>
          <w:szCs w:val="32"/>
        </w:rPr>
        <w:t>卫生健康支出（类）公立医院（款）中医（民族）医院（项）2023年预算数</w:t>
      </w:r>
      <w:r>
        <w:rPr>
          <w:rFonts w:hint="eastAsia" w:ascii="仿宋_GB2312" w:eastAsia="仿宋_GB2312"/>
          <w:sz w:val="32"/>
          <w:szCs w:val="32"/>
          <w:lang w:eastAsia="zh-CN"/>
        </w:rPr>
        <w:t>较上年有所增加。</w:t>
      </w:r>
    </w:p>
    <w:p>
      <w:pPr>
        <w:ind w:firstLine="645"/>
        <w:rPr>
          <w:rFonts w:ascii="仿宋_GB2312" w:eastAsia="仿宋_GB2312"/>
          <w:sz w:val="32"/>
          <w:szCs w:val="32"/>
        </w:rPr>
      </w:pPr>
      <w:r>
        <w:rPr>
          <w:rFonts w:hint="eastAsia" w:ascii="仿宋_GB2312" w:eastAsia="仿宋_GB2312"/>
          <w:sz w:val="32"/>
          <w:szCs w:val="32"/>
        </w:rPr>
        <w:t>6、卫生健康支出（类）公共卫生（款）其他公共卫生支出（项）2023年预算数为10.00万元，比上年增加0.00万元，增长0.00%。主要是</w:t>
      </w:r>
      <w:r>
        <w:rPr>
          <w:rFonts w:hint="eastAsia" w:ascii="仿宋_GB2312" w:eastAsia="仿宋_GB2312"/>
          <w:sz w:val="32"/>
          <w:szCs w:val="32"/>
          <w:lang w:eastAsia="zh-CN"/>
        </w:rPr>
        <w:t>本年没有此项预算数</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7、卫生健康支出（类）行政事业单位医疗（款）事业单位医疗（项）2023年预算数为81.90万元，比上年增加9.96万元，增长13.84%。主要是</w:t>
      </w:r>
      <w:r>
        <w:rPr>
          <w:rFonts w:hint="eastAsia" w:ascii="仿宋_GB2312" w:eastAsia="仿宋_GB2312"/>
          <w:sz w:val="32"/>
          <w:szCs w:val="32"/>
          <w:lang w:eastAsia="zh-CN"/>
        </w:rPr>
        <w:t>人员增资等原因致使</w:t>
      </w:r>
      <w:r>
        <w:rPr>
          <w:rFonts w:hint="eastAsia" w:ascii="仿宋_GB2312" w:eastAsia="仿宋_GB2312"/>
          <w:sz w:val="32"/>
          <w:szCs w:val="32"/>
        </w:rPr>
        <w:t>事业单位医疗（款）事业单位医疗</w:t>
      </w:r>
      <w:r>
        <w:rPr>
          <w:rFonts w:hint="eastAsia" w:ascii="仿宋_GB2312" w:eastAsia="仿宋_GB2312"/>
          <w:sz w:val="32"/>
          <w:szCs w:val="32"/>
          <w:lang w:eastAsia="zh-CN"/>
        </w:rPr>
        <w:t>缴费基数增加，故</w:t>
      </w:r>
      <w:r>
        <w:rPr>
          <w:rFonts w:hint="eastAsia" w:ascii="仿宋_GB2312" w:eastAsia="仿宋_GB2312"/>
          <w:sz w:val="32"/>
          <w:szCs w:val="32"/>
        </w:rPr>
        <w:t>卫生健康支出（类）行政事业单位医疗（款）事业单位医疗（项）202</w:t>
      </w:r>
      <w:r>
        <w:rPr>
          <w:rFonts w:hint="eastAsia" w:ascii="仿宋_GB2312" w:eastAsia="仿宋_GB2312"/>
          <w:sz w:val="32"/>
          <w:szCs w:val="32"/>
          <w:lang w:val="en-US" w:eastAsia="zh-CN"/>
        </w:rPr>
        <w:t>3</w:t>
      </w:r>
      <w:r>
        <w:rPr>
          <w:rFonts w:hint="eastAsia" w:ascii="仿宋_GB2312" w:eastAsia="仿宋_GB2312"/>
          <w:sz w:val="32"/>
          <w:szCs w:val="32"/>
        </w:rPr>
        <w:t>年预算数</w:t>
      </w:r>
      <w:r>
        <w:rPr>
          <w:rFonts w:hint="eastAsia" w:ascii="仿宋_GB2312" w:eastAsia="仿宋_GB2312"/>
          <w:sz w:val="32"/>
          <w:szCs w:val="32"/>
          <w:lang w:eastAsia="zh-CN"/>
        </w:rPr>
        <w:t>较上年有所增加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8、卫生健康支出（类）行政事业单位医疗（款）公务员医疗补助（项）2023年预算数为50.69万元，比上年减少1.59万元，下降3.04%。主要是</w:t>
      </w:r>
      <w:r>
        <w:rPr>
          <w:rFonts w:hint="eastAsia" w:ascii="仿宋_GB2312" w:eastAsia="仿宋_GB2312"/>
          <w:sz w:val="32"/>
          <w:szCs w:val="32"/>
          <w:lang w:eastAsia="zh-CN"/>
        </w:rPr>
        <w:t>人员增资等原因所致缴费基数增加，故本年</w:t>
      </w:r>
      <w:r>
        <w:rPr>
          <w:rFonts w:hint="eastAsia" w:ascii="仿宋_GB2312" w:eastAsia="仿宋_GB2312"/>
          <w:sz w:val="32"/>
          <w:szCs w:val="32"/>
        </w:rPr>
        <w:t>卫生健康支出（类）行政事业单位医疗（款）公务员医疗补助（项）202</w:t>
      </w:r>
      <w:r>
        <w:rPr>
          <w:rFonts w:hint="eastAsia" w:ascii="仿宋_GB2312" w:eastAsia="仿宋_GB2312"/>
          <w:sz w:val="32"/>
          <w:szCs w:val="32"/>
          <w:lang w:val="en-US" w:eastAsia="zh-CN"/>
        </w:rPr>
        <w:t>3</w:t>
      </w:r>
      <w:r>
        <w:rPr>
          <w:rFonts w:hint="eastAsia" w:ascii="仿宋_GB2312" w:eastAsia="仿宋_GB2312"/>
          <w:sz w:val="32"/>
          <w:szCs w:val="32"/>
        </w:rPr>
        <w:t>年预算数</w:t>
      </w:r>
      <w:r>
        <w:rPr>
          <w:rFonts w:hint="eastAsia" w:ascii="仿宋_GB2312" w:eastAsia="仿宋_GB2312"/>
          <w:sz w:val="32"/>
          <w:szCs w:val="32"/>
          <w:lang w:eastAsia="zh-CN"/>
        </w:rPr>
        <w:t>较上年预算有所增加</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9、住房保障支出（类）住房改革支出（款）住房公积金（项）2023年预算数为102.07万元，比上年增加23.29万元，增长29.56%。主要是</w:t>
      </w:r>
      <w:r>
        <w:rPr>
          <w:rFonts w:hint="eastAsia" w:ascii="仿宋_GB2312" w:eastAsia="仿宋_GB2312"/>
          <w:sz w:val="32"/>
          <w:szCs w:val="32"/>
          <w:lang w:eastAsia="zh-CN"/>
        </w:rPr>
        <w:t>人员增资等原因缴纳基数增加，故本年</w:t>
      </w:r>
      <w:r>
        <w:rPr>
          <w:rFonts w:hint="eastAsia" w:ascii="仿宋_GB2312" w:eastAsia="仿宋_GB2312"/>
          <w:sz w:val="32"/>
          <w:szCs w:val="32"/>
        </w:rPr>
        <w:t>住房保障支出（类）住房改革支出（款）住房公积金（项）202</w:t>
      </w:r>
      <w:r>
        <w:rPr>
          <w:rFonts w:hint="eastAsia" w:ascii="仿宋_GB2312" w:eastAsia="仿宋_GB2312"/>
          <w:sz w:val="32"/>
          <w:szCs w:val="32"/>
          <w:lang w:val="en-US" w:eastAsia="zh-CN"/>
        </w:rPr>
        <w:t>3</w:t>
      </w:r>
      <w:r>
        <w:rPr>
          <w:rFonts w:hint="eastAsia" w:ascii="仿宋_GB2312" w:eastAsia="仿宋_GB2312"/>
          <w:sz w:val="32"/>
          <w:szCs w:val="32"/>
        </w:rPr>
        <w:t>年预算数</w:t>
      </w:r>
      <w:r>
        <w:rPr>
          <w:rFonts w:hint="eastAsia" w:ascii="仿宋_GB2312" w:eastAsia="仿宋_GB2312"/>
          <w:sz w:val="32"/>
          <w:szCs w:val="32"/>
          <w:lang w:eastAsia="zh-CN"/>
        </w:rPr>
        <w:t>较上年预算有所增加</w:t>
      </w:r>
      <w:r>
        <w:rPr>
          <w:rFonts w:hint="eastAsia"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湟源县中医院2023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湟源县中医院2023年一般公共预算基本支出1420.02万元，其中：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1395.02万元，主要包括：基本工资243.70万元、津贴补贴256.78万元、绩效工资373.30万元、机关事业单位基本养老保险缴费108.98万元、职业年金缴费54.49万元、职工基本医疗保险缴费41.27万元、公务员医疗补助缴费50.69万元、其他社会保障缴费3.17万元、住房公积金102.07万元、其他工资福利支出22.50万元、退休费95.74万元、生活补助1.69万元、医疗费补助40.63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25.00万元，主要包括：工会经费25.00万元。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湟源县中医院2023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5"/>
        <w:rPr>
          <w:rFonts w:ascii="仿宋_GB2312" w:eastAsia="仿宋_GB2312"/>
          <w:sz w:val="32"/>
          <w:szCs w:val="32"/>
        </w:rPr>
      </w:pPr>
      <w:r>
        <w:rPr>
          <w:rFonts w:hint="eastAsia" w:ascii="仿宋_GB2312" w:eastAsia="仿宋_GB2312"/>
          <w:sz w:val="32"/>
          <w:szCs w:val="32"/>
        </w:rPr>
        <w:t>湟源县中医院2023年一般公共预算“三公”经费预算数为0.00万元，比上年增加0.00万元，其中：因公出国（境）费0.00万元，增加0.00万元；公务用车购置及运行费0.00万元，增加0.00万元；公务接待费0.00万元，增加0.00万元。2023年“三公”经费预算比上年增加主要是</w:t>
      </w:r>
      <w:r>
        <w:rPr>
          <w:rFonts w:hint="eastAsia" w:ascii="仿宋_GB2312" w:eastAsia="仿宋_GB2312"/>
          <w:sz w:val="32"/>
          <w:szCs w:val="32"/>
          <w:lang w:eastAsia="zh-CN"/>
        </w:rPr>
        <w:t>我单</w:t>
      </w:r>
      <w:r>
        <w:rPr>
          <w:rFonts w:hint="eastAsia" w:ascii="仿宋_GB2312" w:eastAsia="仿宋_GB2312"/>
          <w:sz w:val="32"/>
          <w:szCs w:val="32"/>
          <w:highlight w:val="none"/>
          <w:lang w:eastAsia="zh-CN"/>
        </w:rPr>
        <w:t>位为差额</w:t>
      </w:r>
      <w:r>
        <w:rPr>
          <w:rFonts w:hint="eastAsia" w:ascii="仿宋_GB2312" w:eastAsia="仿宋_GB2312"/>
          <w:sz w:val="32"/>
          <w:szCs w:val="32"/>
          <w:lang w:eastAsia="zh-CN"/>
        </w:rPr>
        <w:t>拨款的事业</w:t>
      </w:r>
      <w:bookmarkStart w:id="6" w:name="_GoBack"/>
      <w:bookmarkEnd w:id="6"/>
      <w:r>
        <w:rPr>
          <w:rFonts w:hint="eastAsia" w:ascii="仿宋_GB2312" w:eastAsia="仿宋_GB2312"/>
          <w:sz w:val="32"/>
          <w:szCs w:val="32"/>
          <w:lang w:eastAsia="zh-CN"/>
        </w:rPr>
        <w:t>单位，我单位没有此款项经费</w:t>
      </w:r>
      <w:r>
        <w:rPr>
          <w:rFonts w:hint="eastAsia"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湟源县中医院2023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湟源县中医院2023年没有使用政府性基金预算拨款安排的支出。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2023年湟源县中医院机关运行经费财政拨款预算25.00万元，比</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年预算减少0万元，下降0.00%。主要是</w:t>
      </w:r>
      <w:r>
        <w:rPr>
          <w:rFonts w:hint="eastAsia" w:ascii="仿宋_GB2312" w:hAnsi="仿宋" w:eastAsia="仿宋_GB2312"/>
          <w:spacing w:val="-6"/>
          <w:kern w:val="2"/>
          <w:sz w:val="32"/>
          <w:szCs w:val="32"/>
          <w:lang w:val="en-US" w:eastAsia="zh-CN"/>
        </w:rPr>
        <w:t>本年没有此项经费预算</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2023年湟源县中医院各单位政府采购预算总额</w:t>
      </w:r>
      <w:r>
        <w:rPr>
          <w:rFonts w:hint="eastAsia" w:ascii="仿宋_GB2312" w:hAnsi="仿宋" w:eastAsia="仿宋_GB2312"/>
          <w:spacing w:val="-6"/>
          <w:kern w:val="2"/>
          <w:sz w:val="32"/>
          <w:szCs w:val="32"/>
          <w:lang w:val="en-US" w:eastAsia="zh-CN"/>
        </w:rPr>
        <w:t>230.00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162.00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68.00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月底，湟源县中医院所属各预算单位共有车辆</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2023年湟源县中医院预算均实行绩效目标管理，涉及项目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30.00</w:t>
      </w:r>
      <w:r>
        <w:rPr>
          <w:rFonts w:hint="eastAsia" w:ascii="仿宋_GB2312" w:hAnsi="仿宋" w:eastAsia="仿宋_GB2312"/>
          <w:spacing w:val="-6"/>
          <w:kern w:val="2"/>
          <w:sz w:val="32"/>
          <w:szCs w:val="32"/>
          <w:lang w:val="en-US"/>
        </w:rPr>
        <w:t>万元。</w:t>
      </w: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6"/>
        <w:tblpPr w:leftFromText="180" w:rightFromText="180" w:vertAnchor="text" w:horzAnchor="page" w:tblpX="1007" w:tblpY="603"/>
        <w:tblOverlap w:val="never"/>
        <w:tblW w:w="100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9"/>
        <w:gridCol w:w="1089"/>
        <w:gridCol w:w="1897"/>
        <w:gridCol w:w="723"/>
        <w:gridCol w:w="757"/>
        <w:gridCol w:w="1631"/>
        <w:gridCol w:w="890"/>
        <w:gridCol w:w="930"/>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08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275"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预算年度：2023</w:t>
            </w:r>
          </w:p>
        </w:tc>
        <w:tc>
          <w:tcPr>
            <w:tcW w:w="723"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757"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63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89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2"/>
                <w:szCs w:val="22"/>
                <w:u w:val="none"/>
              </w:rPr>
            </w:pPr>
            <w:r>
              <w:rPr>
                <w:rFonts w:ascii="宋体" w:hAnsi="宋体" w:eastAsia="宋体" w:cs="宋体"/>
                <w:b/>
                <w:bCs/>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1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中医院院长年薪</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突显公立医院的公益性及院长代表政府对医院的管理职责、推动全县公立医院综合改革、更好地为群众提供优质的医疗保障服务。</w:t>
            </w: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医疗服务收入(不含药品、耗材、检查、化验收入）占比情况</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质量指标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药品收入占医疗收入（不含中药饮片）的比重</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抗菌药物使用强度（DDDs）</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保障群众疾病预防能力</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门诊患者满意度</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医务人员满意度</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住院患者满意度</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预防性健康体检</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8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预防性健康体检</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全县人民满意度</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ascii="仿宋_GB2312" w:eastAsia="仿宋_GB2312"/>
          <w:b/>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反映机关事业单位实施养老保险制度由单位缴纳的基本养老保险费支出。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bCs w:val="0"/>
          <w:spacing w:val="-6"/>
          <w:sz w:val="32"/>
          <w:szCs w:val="32"/>
          <w:lang w:val="en-US" w:eastAsia="zh-CN"/>
        </w:rPr>
        <w:t>二</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社会保障和就业支出（类）行政事业单位养老支出（款）机关事业单位职业年金缴费支出（项）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反映机关事业单位实施养老保险制度由单位实际缴纳的职业年金支出。</w:t>
      </w:r>
    </w:p>
    <w:p>
      <w:pPr>
        <w:ind w:firstLine="619" w:firstLineChars="200"/>
        <w:rPr>
          <w:rFonts w:hint="eastAsia" w:ascii="仿宋_GB2312" w:hAnsi="仿宋" w:eastAsia="仿宋_GB2312"/>
          <w:b w:val="0"/>
          <w:bCs/>
          <w:spacing w:val="-6"/>
          <w:sz w:val="32"/>
          <w:szCs w:val="32"/>
          <w:lang w:eastAsia="zh-CN"/>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社会保障和就业支出（类）行政事业单位养老支出（款）其他行政事业单位养老支出（项）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反映除上述项目以外其他用于行政事业单位养老方面的支出。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社会保障和就业支出（类）其他社会保障和就业支出（款）其他社会保障和就业支出（项）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val="en-US" w:eastAsia="zh-CN"/>
        </w:rPr>
        <w:t>反映</w:t>
      </w:r>
      <w:r>
        <w:rPr>
          <w:rFonts w:hint="eastAsia" w:ascii="仿宋_GB2312" w:hAnsi="Times New Roman" w:eastAsia="仿宋_GB2312" w:cs="Times New Roman"/>
          <w:sz w:val="32"/>
          <w:szCs w:val="32"/>
        </w:rPr>
        <w:t>除上述项目以外其他用于社会保障和就业方面的支出。</w:t>
      </w:r>
    </w:p>
    <w:p>
      <w:pPr>
        <w:ind w:firstLine="619" w:firstLineChars="200"/>
        <w:rPr>
          <w:rFonts w:hint="default" w:ascii="仿宋_GB2312" w:hAnsi="仿宋" w:eastAsia="仿宋_GB2312"/>
          <w:b/>
          <w:spacing w:val="-6"/>
          <w:sz w:val="32"/>
          <w:szCs w:val="32"/>
          <w:lang w:val="en-US"/>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五</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卫生健康支出（类）公立医院（款）中医（民族）医院（项）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反映卫生健康、中医部门所属的中医院、中西医结合医院、民族医院的</w:t>
      </w:r>
      <w:r>
        <w:rPr>
          <w:rFonts w:hint="eastAsia" w:ascii="仿宋_GB2312" w:hAnsi="仿宋" w:eastAsia="仿宋_GB2312"/>
          <w:b w:val="0"/>
          <w:bCs/>
          <w:spacing w:val="-6"/>
          <w:sz w:val="32"/>
          <w:szCs w:val="32"/>
          <w:lang w:val="en-US" w:eastAsia="zh-CN"/>
        </w:rPr>
        <w:t>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卫生健康支出（类）公共卫生（款）其他公共卫生支出（项）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反映除上述项目以外的其他用于公共卫生方面的支出。</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七</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卫生健康支出（类）行政事业单位医疗（款）事业单位医疗（项）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八</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卫生健康支出（类）行政事业单位医疗（款）公务员医疗补助（项）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反映财政部门安排的公务员医疗补助经费。</w:t>
      </w:r>
    </w:p>
    <w:p>
      <w:pPr>
        <w:ind w:firstLine="619" w:firstLineChars="200"/>
        <w:rPr>
          <w:rFonts w:hint="eastAsia" w:ascii="黑体" w:hAnsi="黑体" w:eastAsia="黑体"/>
          <w:sz w:val="32"/>
          <w:szCs w:val="32"/>
        </w:rPr>
      </w:pP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lang w:val="en-US" w:eastAsia="zh-CN"/>
        </w:rPr>
        <w:t>九</w:t>
      </w:r>
      <w:r>
        <w:rPr>
          <w:rFonts w:hint="eastAsia" w:ascii="仿宋_GB2312" w:hAnsi="仿宋" w:eastAsia="仿宋_GB2312"/>
          <w:b/>
          <w:spacing w:val="-6"/>
          <w:sz w:val="32"/>
          <w:szCs w:val="32"/>
          <w:lang w:eastAsia="zh-CN"/>
        </w:rPr>
        <w:t>）</w:t>
      </w:r>
      <w:r>
        <w:rPr>
          <w:rFonts w:hint="eastAsia" w:ascii="仿宋_GB2312" w:hAnsi="仿宋" w:eastAsia="仿宋_GB2312"/>
          <w:b/>
          <w:spacing w:val="-6"/>
          <w:sz w:val="32"/>
          <w:szCs w:val="32"/>
        </w:rPr>
        <w:t>住房保障支出（类）住房改革支出（款）住房公积金（项）</w:t>
      </w:r>
      <w:r>
        <w:rPr>
          <w:rFonts w:hint="eastAsia" w:ascii="仿宋_GB2312" w:hAnsi="仿宋" w:eastAsia="仿宋_GB2312"/>
          <w:b/>
          <w:spacing w:val="-6"/>
          <w:sz w:val="32"/>
          <w:szCs w:val="32"/>
          <w:lang w:eastAsia="zh-CN"/>
        </w:rPr>
        <w:t>：</w:t>
      </w:r>
      <w:r>
        <w:rPr>
          <w:rFonts w:hint="eastAsia" w:ascii="仿宋_GB2312" w:eastAsia="仿宋_GB2312"/>
          <w:sz w:val="32"/>
          <w:szCs w:val="32"/>
        </w:rPr>
        <w:t>反映行政事业单位按人力资源和社会保障部、财政部规定的基本工资和津贴补贴以及规定比例为职工缴纳的住房公积金</w:t>
      </w:r>
      <w:r>
        <w:rPr>
          <w:rFonts w:hint="eastAsia" w:ascii="仿宋_GB2312"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rPr>
          <w:rFonts w:hint="default"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2F1B1B"/>
    <w:rsid w:val="00305E36"/>
    <w:rsid w:val="00314180"/>
    <w:rsid w:val="00316542"/>
    <w:rsid w:val="00322615"/>
    <w:rsid w:val="00325F0E"/>
    <w:rsid w:val="00330E25"/>
    <w:rsid w:val="00332400"/>
    <w:rsid w:val="0033400D"/>
    <w:rsid w:val="00334D68"/>
    <w:rsid w:val="00334D8E"/>
    <w:rsid w:val="0033793A"/>
    <w:rsid w:val="003521E5"/>
    <w:rsid w:val="00355008"/>
    <w:rsid w:val="003554C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1DA6"/>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C6895"/>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C27EC"/>
    <w:rsid w:val="00CD2E64"/>
    <w:rsid w:val="00CD2EC8"/>
    <w:rsid w:val="00CE5CA7"/>
    <w:rsid w:val="00CE7C0B"/>
    <w:rsid w:val="00CF5B34"/>
    <w:rsid w:val="00CF7C55"/>
    <w:rsid w:val="00D04E62"/>
    <w:rsid w:val="00D07693"/>
    <w:rsid w:val="00D13954"/>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2C8"/>
    <w:rsid w:val="00EF1BD9"/>
    <w:rsid w:val="00EF4B98"/>
    <w:rsid w:val="00F02DC6"/>
    <w:rsid w:val="00F07AA5"/>
    <w:rsid w:val="00F07F8F"/>
    <w:rsid w:val="00F11C0E"/>
    <w:rsid w:val="00F16635"/>
    <w:rsid w:val="00F17BBD"/>
    <w:rsid w:val="00F2177F"/>
    <w:rsid w:val="00F25E2D"/>
    <w:rsid w:val="00F3746A"/>
    <w:rsid w:val="00F42B27"/>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2E4B34"/>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C32BD0"/>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EFB21FB"/>
    <w:rsid w:val="0F0C3167"/>
    <w:rsid w:val="0F1B23BF"/>
    <w:rsid w:val="0F4E7F7D"/>
    <w:rsid w:val="0F5D63CD"/>
    <w:rsid w:val="0F9D0EBF"/>
    <w:rsid w:val="0FBC2FF0"/>
    <w:rsid w:val="0FDF10D4"/>
    <w:rsid w:val="0FEB5787"/>
    <w:rsid w:val="107734BE"/>
    <w:rsid w:val="107C6D27"/>
    <w:rsid w:val="10857989"/>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9C160E"/>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CE174A"/>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E05346"/>
    <w:rsid w:val="19FF1621"/>
    <w:rsid w:val="1A165AF6"/>
    <w:rsid w:val="1A591713"/>
    <w:rsid w:val="1A915957"/>
    <w:rsid w:val="1A951111"/>
    <w:rsid w:val="1A9C424D"/>
    <w:rsid w:val="1AA71539"/>
    <w:rsid w:val="1AC35C7E"/>
    <w:rsid w:val="1AC47317"/>
    <w:rsid w:val="1B0F2F7A"/>
    <w:rsid w:val="1B1C0ED8"/>
    <w:rsid w:val="1B2A0D10"/>
    <w:rsid w:val="1B2D1349"/>
    <w:rsid w:val="1B387E5A"/>
    <w:rsid w:val="1B6838CC"/>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D5771"/>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51BC9"/>
    <w:rsid w:val="255B3E43"/>
    <w:rsid w:val="25627E42"/>
    <w:rsid w:val="25AE3087"/>
    <w:rsid w:val="25B20DC9"/>
    <w:rsid w:val="25D50E20"/>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BC3435"/>
    <w:rsid w:val="34C05684"/>
    <w:rsid w:val="34C839CB"/>
    <w:rsid w:val="35301D0A"/>
    <w:rsid w:val="354E7C5B"/>
    <w:rsid w:val="35532DBC"/>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727CC"/>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31344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1093C"/>
    <w:rsid w:val="4BE87D6B"/>
    <w:rsid w:val="4C137A41"/>
    <w:rsid w:val="4C1C66ED"/>
    <w:rsid w:val="4C50191A"/>
    <w:rsid w:val="4C692F12"/>
    <w:rsid w:val="4C990922"/>
    <w:rsid w:val="4CBB4158"/>
    <w:rsid w:val="4CCF550D"/>
    <w:rsid w:val="4D0B6137"/>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1F67F8D"/>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553F66"/>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E17B3D"/>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3A70BD"/>
    <w:rsid w:val="5CAC7619"/>
    <w:rsid w:val="5CB169DD"/>
    <w:rsid w:val="5D096819"/>
    <w:rsid w:val="5D135E9A"/>
    <w:rsid w:val="5D4F5F4A"/>
    <w:rsid w:val="5DA017ED"/>
    <w:rsid w:val="5DB9023F"/>
    <w:rsid w:val="5DCD5A99"/>
    <w:rsid w:val="5DD82F19"/>
    <w:rsid w:val="5DEC4171"/>
    <w:rsid w:val="5E180F16"/>
    <w:rsid w:val="5E6964AE"/>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593ED4"/>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8DD2140"/>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BE14B5"/>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0E96ACA"/>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7775A3"/>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字符"/>
    <w:link w:val="3"/>
    <w:semiHidden/>
    <w:qFormat/>
    <w:uiPriority w:val="99"/>
    <w:rPr>
      <w:rFonts w:ascii="Times New Roman" w:hAnsi="Times New Roman"/>
      <w:kern w:val="2"/>
      <w:sz w:val="18"/>
      <w:szCs w:val="18"/>
    </w:rPr>
  </w:style>
  <w:style w:type="character" w:customStyle="1" w:styleId="10">
    <w:name w:val="页脚 字符"/>
    <w:link w:val="4"/>
    <w:qFormat/>
    <w:uiPriority w:val="99"/>
    <w:rPr>
      <w:rFonts w:ascii="Times New Roman" w:hAnsi="Times New Roman"/>
      <w:kern w:val="2"/>
      <w:sz w:val="18"/>
      <w:szCs w:val="18"/>
    </w:rPr>
  </w:style>
  <w:style w:type="character" w:customStyle="1" w:styleId="11">
    <w:name w:val="页眉 字符"/>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字符"/>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6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6895</Words>
  <Characters>8331</Characters>
  <Lines>61</Lines>
  <Paragraphs>17</Paragraphs>
  <TotalTime>1</TotalTime>
  <ScaleCrop>false</ScaleCrop>
  <LinksUpToDate>false</LinksUpToDate>
  <CharactersWithSpaces>8428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2023-06-06T01:28:00Z</cp:lastPrinted>
  <dcterms:modified xsi:type="dcterms:W3CDTF">2023-06-08T08:14:36Z</dcterms:modified>
  <dc:title>×××部门</dc:title>
  <cp:revision>400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5E4986EB551444C89044ED1FEBC90856_13</vt:lpwstr>
  </property>
</Properties>
</file>