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noWrap/>
          </w:tcPr>
          <w:p>
            <w:pPr>
              <w:pStyle w:val="12"/>
              <w:rPr>
                <w:rFonts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noWrap/>
            <w:vAlign w:val="center"/>
          </w:tcPr>
          <w:p>
            <w:pPr>
              <w:pStyle w:val="12"/>
              <w:jc w:val="center"/>
              <w:rPr>
                <w:rFonts w:ascii="Cambria" w:hAnsi="Cambria"/>
                <w:b/>
                <w:sz w:val="80"/>
                <w:szCs w:val="80"/>
              </w:rPr>
            </w:pPr>
            <w:r>
              <w:rPr>
                <w:rFonts w:hint="eastAsia" w:ascii="Cambria" w:hAnsi="Cambria"/>
                <w:b/>
                <w:sz w:val="80"/>
                <w:szCs w:val="80"/>
              </w:rPr>
              <w:t>中共湟源县委党校</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noWrap/>
            <w:vAlign w:val="center"/>
          </w:tcPr>
          <w:p>
            <w:pPr>
              <w:pStyle w:val="12"/>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noWrap/>
            <w:vAlign w:val="center"/>
          </w:tcPr>
          <w:p>
            <w:pPr>
              <w:pStyle w:val="12"/>
              <w:jc w:val="center"/>
            </w:pPr>
          </w:p>
        </w:tc>
      </w:tr>
    </w:tbl>
    <w:p/>
    <w:tbl>
      <w:tblPr>
        <w:tblStyle w:val="5"/>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5000" w:type="pct"/>
            <w:noWrap/>
          </w:tcPr>
          <w:p>
            <w:pPr>
              <w:pStyle w:val="12"/>
            </w:pPr>
          </w:p>
        </w:tc>
      </w:tr>
    </w:tbl>
    <w:p>
      <w:pPr>
        <w:jc w:val="center"/>
        <w:rPr>
          <w:rFonts w:ascii="华文琥珀" w:hAnsi="楷体" w:eastAsia="华文琥珀"/>
          <w:sz w:val="84"/>
          <w:szCs w:val="84"/>
        </w:rPr>
      </w:pPr>
      <w:r>
        <w:rPr>
          <w:rFonts w:hint="eastAsia" w:ascii="华文琥珀" w:hAnsi="楷体" w:eastAsia="华文琥珀"/>
          <w:sz w:val="84"/>
          <w:szCs w:val="84"/>
        </w:rPr>
        <w:t>2023</w:t>
      </w:r>
      <w:r>
        <w:rPr>
          <w:rFonts w:hint="eastAsia" w:ascii="华文琥珀" w:hAnsi="楷体" w:eastAsia="华文琥珀"/>
          <w:sz w:val="84"/>
          <w:szCs w:val="84"/>
          <w:lang w:val="zh-CN"/>
        </w:rPr>
        <w:t>年部门预算</w:t>
      </w:r>
    </w:p>
    <w:p/>
    <w:p/>
    <w:p/>
    <w:p/>
    <w:p/>
    <w:p/>
    <w:p/>
    <w:p/>
    <w:p/>
    <w:p/>
    <w:p/>
    <w:p/>
    <w:p/>
    <w:p/>
    <w:p/>
    <w:p/>
    <w:p/>
    <w:p/>
    <w:p>
      <w:pPr>
        <w:adjustRightInd w:val="0"/>
        <w:snapToGrid w:val="0"/>
        <w:spacing w:line="560" w:lineRule="exact"/>
        <w:jc w:val="center"/>
        <w:rPr>
          <w:rFonts w:ascii="仿宋" w:hAnsi="仿宋" w:eastAsia="仿宋"/>
          <w:color w:val="000000"/>
          <w:sz w:val="32"/>
          <w:szCs w:val="32"/>
        </w:rPr>
      </w:pPr>
    </w:p>
    <w:p>
      <w:pPr>
        <w:adjustRightInd w:val="0"/>
        <w:snapToGrid w:val="0"/>
        <w:spacing w:line="560" w:lineRule="exact"/>
        <w:ind w:firstLine="720" w:firstLineChars="200"/>
        <w:jc w:val="center"/>
        <w:rPr>
          <w:rFonts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ascii="小标宋" w:eastAsia="小标宋"/>
          <w:color w:val="000000"/>
          <w:sz w:val="36"/>
          <w:szCs w:val="36"/>
        </w:rPr>
      </w:pP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第一部分  部门概况</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二、机构设置</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三、部门预算部门构成</w:t>
      </w: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第二部分  部门预算表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第三部分 部门预算情况说明</w:t>
      </w: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第四部分 名词解释</w:t>
      </w: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720" w:firstLineChars="200"/>
        <w:jc w:val="center"/>
        <w:rPr>
          <w:rFonts w:ascii="小标宋" w:eastAsia="小标宋"/>
          <w:b/>
          <w:color w:val="000000"/>
          <w:sz w:val="36"/>
          <w:szCs w:val="36"/>
        </w:rPr>
      </w:pPr>
      <w:r>
        <w:rPr>
          <w:rFonts w:hint="eastAsia" w:ascii="小标宋" w:eastAsia="小标宋"/>
          <w:b/>
          <w:color w:val="000000"/>
          <w:sz w:val="36"/>
          <w:szCs w:val="36"/>
        </w:rPr>
        <w:t>第一部分　部门概况</w:t>
      </w:r>
    </w:p>
    <w:p>
      <w:pPr>
        <w:adjustRightInd w:val="0"/>
        <w:snapToGrid w:val="0"/>
        <w:spacing w:line="560" w:lineRule="exact"/>
        <w:ind w:firstLine="600" w:firstLineChars="200"/>
        <w:rPr>
          <w:rFonts w:ascii="黑体" w:eastAsia="黑体"/>
          <w:color w:val="000000"/>
          <w:sz w:val="30"/>
          <w:szCs w:val="30"/>
        </w:rPr>
      </w:pP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ascii="黑体" w:hAnsi="宋体" w:eastAsia="黑体"/>
          <w:color w:val="000000"/>
          <w:sz w:val="32"/>
          <w:szCs w:val="32"/>
        </w:rPr>
      </w:pPr>
      <w:r>
        <w:rPr>
          <w:rFonts w:hint="eastAsia" w:ascii="黑体" w:hAnsi="宋体" w:eastAsia="黑体"/>
          <w:color w:val="000000"/>
          <w:sz w:val="32"/>
          <w:szCs w:val="32"/>
        </w:rPr>
        <w:t>一、主要职能</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中共湟源县委党校是在县委直接领导下培养党员领导干部和理论干部的学校，是县委的一个重要部门，是研究宣传马列主义中国化的理论成果，毛泽东思想、邓小平理论、“三个代表”重要思想、科学发展观、习近平新时代中国特色社会主义思想，宣传党的路线、方针、政策和国家法律、法规。同时，围绕党的中心任务积极开展党员干部培训、社会科学研究和资政议政等工作，积极有效服务于全县发展大局。</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其基本职责是：</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（一）轮训副科级以下党员领导干部；</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（二）培训中青年党员领导干部；</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（三）培训意识形态部门的领导干部和理论骨干；</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（四）协同组织人事部门，对学员在校期间进行考核考察；</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（五）围绕国内外出现的新情况、新问题以及我县的热点难点问题开展调查研究，为县委、县政府决策提供参考;</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（六）研究宣传马列主义中国化的理论成果，毛泽东思想、邓小平理论、“三个代表”重要思想、科学发展观、习近平新时代中国特色社会主义思想，宣传党的路线、方针、政策和国家法律、法规。</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ascii="黑体" w:hAnsi="宋体" w:eastAsia="黑体"/>
          <w:color w:val="000000"/>
          <w:sz w:val="32"/>
          <w:szCs w:val="32"/>
        </w:rPr>
      </w:pPr>
      <w:r>
        <w:rPr>
          <w:rFonts w:hint="eastAsia" w:ascii="黑体" w:hAnsi="宋体" w:eastAsia="黑体"/>
          <w:color w:val="000000"/>
          <w:sz w:val="32"/>
          <w:szCs w:val="32"/>
        </w:rPr>
        <w:t>二、机构设置</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rPr>
        <w:t>根据《中共湟源县委</w:t>
      </w:r>
      <w:r>
        <w:rPr>
          <w:rFonts w:hint="eastAsia" w:ascii="仿宋_GB2312" w:eastAsia="仿宋_GB2312"/>
          <w:color w:val="000000"/>
          <w:sz w:val="32"/>
          <w:szCs w:val="32"/>
          <w:lang w:eastAsia="zh-CN"/>
        </w:rPr>
        <w:t>机构编制委员会关于中共湟源县委党校（挂湟源县行政学校牌子）机构编制事项</w:t>
      </w:r>
      <w:r>
        <w:rPr>
          <w:rFonts w:hint="eastAsia" w:ascii="仿宋_GB2312" w:eastAsia="仿宋_GB2312"/>
          <w:color w:val="000000"/>
          <w:sz w:val="32"/>
          <w:szCs w:val="32"/>
        </w:rPr>
        <w:t>的通知》(</w:t>
      </w:r>
      <w:r>
        <w:rPr>
          <w:rFonts w:hint="eastAsia" w:ascii="仿宋_GB2312" w:eastAsia="仿宋_GB2312"/>
          <w:color w:val="000000"/>
          <w:sz w:val="32"/>
          <w:szCs w:val="32"/>
          <w:lang w:eastAsia="zh-CN"/>
        </w:rPr>
        <w:t>湟源编委发</w:t>
      </w:r>
      <w:r>
        <w:rPr>
          <w:rFonts w:hint="eastAsia" w:ascii="仿宋_GB2312" w:eastAsia="仿宋_GB2312"/>
          <w:color w:val="000000"/>
          <w:sz w:val="32"/>
          <w:szCs w:val="32"/>
        </w:rPr>
        <w:t>〔2019〕</w:t>
      </w:r>
      <w:r>
        <w:rPr>
          <w:rFonts w:hint="eastAsia" w:ascii="仿宋_GB2312" w:eastAsia="仿宋_GB2312"/>
          <w:color w:val="000000"/>
          <w:sz w:val="32"/>
          <w:szCs w:val="32"/>
          <w:lang w:val="en-US" w:eastAsia="zh-CN"/>
        </w:rPr>
        <w:t>56</w:t>
      </w:r>
      <w:r>
        <w:rPr>
          <w:rFonts w:hint="eastAsia" w:ascii="仿宋_GB2312" w:eastAsia="仿宋_GB2312"/>
          <w:color w:val="000000"/>
          <w:sz w:val="32"/>
          <w:szCs w:val="32"/>
        </w:rPr>
        <w:t>号)文，</w:t>
      </w:r>
      <w:r>
        <w:rPr>
          <w:rFonts w:hint="eastAsia" w:ascii="仿宋_GB2312" w:eastAsia="仿宋_GB2312"/>
          <w:color w:val="000000"/>
          <w:sz w:val="32"/>
          <w:szCs w:val="32"/>
          <w:lang w:eastAsia="zh-CN"/>
        </w:rPr>
        <w:t>中共湟源县委党校（挂湟源县行政学校牌子）为中共湟源县委管理的公益一类事业单位，机构规格为正科级，经费形式为全额拨款。</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ascii="黑体" w:hAnsi="宋体" w:eastAsia="黑体"/>
          <w:color w:val="000000"/>
          <w:sz w:val="32"/>
          <w:szCs w:val="32"/>
        </w:rPr>
      </w:pPr>
      <w:r>
        <w:rPr>
          <w:rFonts w:hint="eastAsia" w:ascii="黑体" w:hAnsi="宋体" w:eastAsia="黑体"/>
          <w:color w:val="000000"/>
          <w:sz w:val="32"/>
          <w:szCs w:val="32"/>
        </w:rPr>
        <w:t>三、部门预算部门构成</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rPr>
        <w:t>纳入</w:t>
      </w:r>
      <w:r>
        <w:rPr>
          <w:rFonts w:hint="eastAsia" w:ascii="仿宋_GB2312" w:eastAsia="仿宋_GB2312"/>
          <w:color w:val="000000"/>
          <w:sz w:val="32"/>
          <w:szCs w:val="32"/>
          <w:lang w:eastAsia="zh-CN"/>
        </w:rPr>
        <w:t>中共湟源县委党校</w:t>
      </w:r>
      <w:r>
        <w:rPr>
          <w:rFonts w:hint="eastAsia" w:ascii="仿宋_GB2312" w:eastAsia="仿宋_GB2312"/>
          <w:color w:val="000000"/>
          <w:sz w:val="32"/>
          <w:szCs w:val="32"/>
          <w:lang w:val="en-US" w:eastAsia="zh-CN"/>
        </w:rPr>
        <w:t>2023</w:t>
      </w:r>
      <w:r>
        <w:rPr>
          <w:rFonts w:hint="eastAsia" w:ascii="仿宋_GB2312" w:eastAsia="仿宋_GB2312"/>
          <w:color w:val="000000"/>
          <w:sz w:val="32"/>
          <w:szCs w:val="32"/>
        </w:rPr>
        <w:t>年部门预算编制范围的二级预算单位</w:t>
      </w:r>
      <w:r>
        <w:rPr>
          <w:rFonts w:hint="eastAsia" w:ascii="仿宋_GB2312" w:eastAsia="仿宋_GB2312"/>
          <w:color w:val="000000"/>
          <w:sz w:val="32"/>
          <w:szCs w:val="32"/>
          <w:lang w:val="en-US" w:eastAsia="zh-CN"/>
        </w:rPr>
        <w:t>包括：</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tcPr>
          <w:p>
            <w:pPr>
              <w:ind w:firstLine="160" w:firstLineChars="50"/>
              <w:rPr>
                <w:rFonts w:ascii="仿宋_GB2312" w:eastAsia="仿宋_GB2312"/>
                <w:sz w:val="32"/>
                <w:szCs w:val="32"/>
              </w:rPr>
            </w:pPr>
            <w:r>
              <w:rPr>
                <w:rFonts w:hint="eastAsia" w:ascii="仿宋_GB2312" w:eastAsia="仿宋_GB2312"/>
                <w:sz w:val="32"/>
                <w:szCs w:val="32"/>
              </w:rPr>
              <w:t>序号</w:t>
            </w:r>
          </w:p>
        </w:tc>
        <w:tc>
          <w:tcPr>
            <w:tcW w:w="6328" w:type="dxa"/>
            <w:noWrap/>
          </w:tcPr>
          <w:p>
            <w:pPr>
              <w:jc w:val="center"/>
              <w:rPr>
                <w:rFonts w:ascii="仿宋_GB2312" w:eastAsia="仿宋_GB2312"/>
                <w:sz w:val="32"/>
                <w:szCs w:val="32"/>
              </w:rPr>
            </w:pPr>
            <w:r>
              <w:rPr>
                <w:rFonts w:hint="eastAsia" w:ascii="仿宋_GB2312" w:eastAsia="仿宋_GB2312"/>
                <w:sz w:val="32"/>
                <w:szCs w:val="32"/>
              </w:rPr>
              <w:t>部门名称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tcPr>
          <w:p>
            <w:pPr>
              <w:jc w:val="center"/>
              <w:rPr>
                <w:rFonts w:ascii="仿宋_GB2312" w:eastAsia="仿宋_GB2312"/>
                <w:sz w:val="32"/>
                <w:szCs w:val="32"/>
              </w:rPr>
            </w:pPr>
            <w:r>
              <w:rPr>
                <w:rFonts w:hint="eastAsia" w:ascii="仿宋_GB2312" w:eastAsia="仿宋_GB2312"/>
                <w:sz w:val="32"/>
                <w:szCs w:val="32"/>
              </w:rPr>
              <w:t>1</w:t>
            </w:r>
          </w:p>
        </w:tc>
        <w:tc>
          <w:tcPr>
            <w:tcW w:w="6328" w:type="dxa"/>
            <w:noWrap/>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无</w:t>
            </w:r>
          </w:p>
        </w:tc>
      </w:tr>
    </w:tbl>
    <w:p>
      <w:pPr>
        <w:rPr>
          <w:rFonts w:hint="eastAsia" w:ascii="小标宋" w:eastAsia="小标宋"/>
          <w:b/>
          <w:color w:val="000000"/>
          <w:sz w:val="36"/>
          <w:szCs w:val="36"/>
        </w:rPr>
      </w:pPr>
      <w:r>
        <w:rPr>
          <w:rFonts w:hint="eastAsia" w:ascii="小标宋" w:eastAsia="小标宋"/>
          <w:b/>
          <w:color w:val="000000"/>
          <w:sz w:val="36"/>
          <w:szCs w:val="36"/>
        </w:rPr>
        <w:br w:type="page"/>
      </w:r>
    </w:p>
    <w:p>
      <w:pPr>
        <w:adjustRightInd w:val="0"/>
        <w:snapToGrid w:val="0"/>
        <w:spacing w:line="560" w:lineRule="exact"/>
        <w:ind w:firstLine="720" w:firstLineChars="200"/>
        <w:jc w:val="center"/>
        <w:rPr>
          <w:rFonts w:ascii="小标宋" w:eastAsia="小标宋"/>
          <w:b/>
          <w:color w:val="000000"/>
          <w:sz w:val="36"/>
          <w:szCs w:val="36"/>
        </w:rPr>
      </w:pPr>
      <w:r>
        <w:rPr>
          <w:rFonts w:hint="eastAsia" w:ascii="小标宋" w:eastAsia="小标宋"/>
          <w:b/>
          <w:color w:val="000000"/>
          <w:sz w:val="36"/>
          <w:szCs w:val="36"/>
        </w:rPr>
        <w:t>第二部分  部门预算表</w:t>
      </w:r>
    </w:p>
    <w:tbl>
      <w:tblPr>
        <w:tblStyle w:val="5"/>
        <w:tblW w:w="9870" w:type="dxa"/>
        <w:jc w:val="center"/>
        <w:tblLayout w:type="autofit"/>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部门公开表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445.85</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312.71</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70.16</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33.70</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29.28</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445.85</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445.85</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445.85</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445.85</w:t>
            </w:r>
          </w:p>
        </w:tc>
      </w:tr>
    </w:tbl>
    <w:p>
      <w:pPr>
        <w:rPr>
          <w:rFonts w:hint="eastAsia" w:ascii="仿宋_GB2312" w:eastAsia="仿宋_GB2312"/>
          <w:sz w:val="32"/>
          <w:szCs w:val="32"/>
        </w:rPr>
      </w:pPr>
    </w:p>
    <w:p>
      <w:pPr>
        <w:rPr>
          <w:rFonts w:hint="eastAsia" w:ascii="仿宋_GB2312" w:eastAsia="仿宋_GB2312"/>
          <w:sz w:val="32"/>
          <w:szCs w:val="32"/>
        </w:rPr>
      </w:pPr>
    </w:p>
    <w:p>
      <w:pPr>
        <w:rPr>
          <w:rFonts w:ascii="仿宋_GB2312" w:eastAsia="仿宋_GB2312"/>
          <w:sz w:val="32"/>
          <w:szCs w:val="32"/>
        </w:rPr>
      </w:pPr>
    </w:p>
    <w:tbl>
      <w:tblPr>
        <w:tblStyle w:val="5"/>
        <w:tblpPr w:leftFromText="180" w:rightFromText="180" w:vertAnchor="text" w:horzAnchor="page" w:tblpXSpec="center" w:tblpY="618"/>
        <w:tblOverlap w:val="never"/>
        <w:tblW w:w="11426" w:type="dxa"/>
        <w:jc w:val="center"/>
        <w:tblLayout w:type="fixed"/>
        <w:tblCellMar>
          <w:top w:w="0" w:type="dxa"/>
          <w:left w:w="108" w:type="dxa"/>
          <w:bottom w:w="0" w:type="dxa"/>
          <w:right w:w="108" w:type="dxa"/>
        </w:tblCellMar>
      </w:tblPr>
      <w:tblGrid>
        <w:gridCol w:w="1056"/>
        <w:gridCol w:w="995"/>
        <w:gridCol w:w="1083"/>
        <w:gridCol w:w="1084"/>
        <w:gridCol w:w="914"/>
        <w:gridCol w:w="914"/>
        <w:gridCol w:w="914"/>
        <w:gridCol w:w="914"/>
        <w:gridCol w:w="914"/>
        <w:gridCol w:w="914"/>
        <w:gridCol w:w="914"/>
        <w:gridCol w:w="810"/>
      </w:tblGrid>
      <w:tr>
        <w:tblPrEx>
          <w:tblCellMar>
            <w:top w:w="0" w:type="dxa"/>
            <w:left w:w="108" w:type="dxa"/>
            <w:bottom w:w="0" w:type="dxa"/>
            <w:right w:w="108" w:type="dxa"/>
          </w:tblCellMar>
        </w:tblPrEx>
        <w:trPr>
          <w:trHeight w:val="392" w:hRule="atLeast"/>
          <w:jc w:val="center"/>
        </w:trPr>
        <w:tc>
          <w:tcPr>
            <w:tcW w:w="11426"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部门公开表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426"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426" w:type="dxa"/>
            <w:gridSpan w:val="12"/>
            <w:tcBorders>
              <w:top w:val="nil"/>
              <w:left w:val="nil"/>
              <w:bottom w:val="single" w:color="auto" w:sz="4" w:space="0"/>
              <w:right w:val="nil"/>
            </w:tcBorders>
            <w:noWrap/>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1056"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预算部门</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08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一般公共预算拨款收入</w:t>
            </w:r>
          </w:p>
        </w:tc>
        <w:tc>
          <w:tcPr>
            <w:tcW w:w="9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政府性基金预算拨款收入</w:t>
            </w:r>
          </w:p>
        </w:tc>
        <w:tc>
          <w:tcPr>
            <w:tcW w:w="9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附属部门上缴收入</w:t>
            </w:r>
          </w:p>
        </w:tc>
        <w:tc>
          <w:tcPr>
            <w:tcW w:w="9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事业部门经营收入</w:t>
            </w:r>
          </w:p>
        </w:tc>
        <w:tc>
          <w:tcPr>
            <w:tcW w:w="8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105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0"/>
              </w:rPr>
            </w:pPr>
          </w:p>
        </w:tc>
        <w:tc>
          <w:tcPr>
            <w:tcW w:w="99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445.85</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445.85</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81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05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中共湟源县委党校</w:t>
            </w:r>
          </w:p>
        </w:tc>
        <w:tc>
          <w:tcPr>
            <w:tcW w:w="99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445.85</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445.85</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81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05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中共湟源县委党校（本级）</w:t>
            </w:r>
          </w:p>
        </w:tc>
        <w:tc>
          <w:tcPr>
            <w:tcW w:w="99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445.85</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445.85</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81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r>
    </w:tbl>
    <w:p>
      <w:pPr>
        <w:rPr>
          <w:rFonts w:ascii="仿宋_GB2312" w:eastAsia="仿宋_GB2312"/>
          <w:sz w:val="32"/>
          <w:szCs w:val="32"/>
        </w:rPr>
      </w:pPr>
      <w:r>
        <w:rPr>
          <w:rFonts w:hint="eastAsia" w:ascii="仿宋_GB2312" w:eastAsia="仿宋_GB2312"/>
          <w:sz w:val="32"/>
          <w:szCs w:val="32"/>
        </w:rPr>
        <w:br w:type="page"/>
      </w:r>
    </w:p>
    <w:tbl>
      <w:tblPr>
        <w:tblStyle w:val="5"/>
        <w:tblW w:w="11442" w:type="dxa"/>
        <w:jc w:val="center"/>
        <w:tblLayout w:type="fixed"/>
        <w:tblCellMar>
          <w:top w:w="0" w:type="dxa"/>
          <w:left w:w="108" w:type="dxa"/>
          <w:bottom w:w="0" w:type="dxa"/>
          <w:right w:w="108" w:type="dxa"/>
        </w:tblCellMar>
      </w:tblPr>
      <w:tblGrid>
        <w:gridCol w:w="1100"/>
        <w:gridCol w:w="3800"/>
        <w:gridCol w:w="1090"/>
        <w:gridCol w:w="1090"/>
        <w:gridCol w:w="1090"/>
        <w:gridCol w:w="1090"/>
        <w:gridCol w:w="1090"/>
        <w:gridCol w:w="1092"/>
      </w:tblGrid>
      <w:tr>
        <w:tblPrEx>
          <w:tblCellMar>
            <w:top w:w="0" w:type="dxa"/>
            <w:left w:w="108" w:type="dxa"/>
            <w:bottom w:w="0" w:type="dxa"/>
            <w:right w:w="108" w:type="dxa"/>
          </w:tblCellMar>
        </w:tblPrEx>
        <w:trPr>
          <w:trHeight w:val="187" w:hRule="atLeast"/>
          <w:jc w:val="center"/>
        </w:trPr>
        <w:tc>
          <w:tcPr>
            <w:tcW w:w="11442"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rPr>
              <w:t>部门公开表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442"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442" w:type="dxa"/>
            <w:gridSpan w:val="8"/>
            <w:tcBorders>
              <w:top w:val="nil"/>
              <w:left w:val="nil"/>
              <w:bottom w:val="single" w:color="auto" w:sz="4" w:space="0"/>
              <w:right w:val="nil"/>
            </w:tcBorders>
            <w:shd w:val="clear" w:color="auto" w:fill="FFFFFF"/>
            <w:noWrap/>
            <w:vAlign w:val="center"/>
          </w:tcPr>
          <w:p>
            <w:pPr>
              <w:widowControl/>
              <w:jc w:val="right"/>
              <w:rPr>
                <w:rFonts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8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事业部门经营支出</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0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对附属部门补助支出</w:t>
            </w:r>
          </w:p>
        </w:tc>
      </w:tr>
      <w:tr>
        <w:tblPrEx>
          <w:tblCellMar>
            <w:top w:w="0" w:type="dxa"/>
            <w:left w:w="108" w:type="dxa"/>
            <w:bottom w:w="0" w:type="dxa"/>
            <w:right w:w="108" w:type="dxa"/>
          </w:tblCellMar>
        </w:tblPrEx>
        <w:trPr>
          <w:trHeight w:val="324" w:hRule="atLeast"/>
          <w:jc w:val="center"/>
        </w:trPr>
        <w:tc>
          <w:tcPr>
            <w:tcW w:w="490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445.85</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433.85</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12.00</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205</w:t>
            </w:r>
          </w:p>
        </w:tc>
        <w:tc>
          <w:tcPr>
            <w:tcW w:w="38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教育支出</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312.71</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300.71</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12.00</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20508</w:t>
            </w:r>
          </w:p>
        </w:tc>
        <w:tc>
          <w:tcPr>
            <w:tcW w:w="38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进修和培训</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312.71</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300.71</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12.00</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2050802</w:t>
            </w:r>
          </w:p>
        </w:tc>
        <w:tc>
          <w:tcPr>
            <w:tcW w:w="38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干部教育</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312.71</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300.71</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12.00</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281"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w:t>
            </w:r>
          </w:p>
        </w:tc>
        <w:tc>
          <w:tcPr>
            <w:tcW w:w="38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社会保障和就业支出</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70.16</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70.16</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w:t>
            </w:r>
          </w:p>
        </w:tc>
        <w:tc>
          <w:tcPr>
            <w:tcW w:w="38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行政事业单位养老支出</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68.95</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68.95</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2080505</w:t>
            </w:r>
          </w:p>
        </w:tc>
        <w:tc>
          <w:tcPr>
            <w:tcW w:w="38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机关事业单位基本养老保险缴费支出</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31.80</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31.80</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2080506</w:t>
            </w:r>
          </w:p>
        </w:tc>
        <w:tc>
          <w:tcPr>
            <w:tcW w:w="38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机关事业单位职业年金缴费支出</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15.90</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15.90</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2080599</w:t>
            </w:r>
          </w:p>
        </w:tc>
        <w:tc>
          <w:tcPr>
            <w:tcW w:w="38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其他行政事业单位养老支出</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21.24</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21.24</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20899</w:t>
            </w:r>
          </w:p>
        </w:tc>
        <w:tc>
          <w:tcPr>
            <w:tcW w:w="38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其他社会保障和就业支出</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1.21</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1.21</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2089999</w:t>
            </w:r>
          </w:p>
        </w:tc>
        <w:tc>
          <w:tcPr>
            <w:tcW w:w="38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其他社会保障和就业支出</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1.21</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1.21</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w:t>
            </w:r>
          </w:p>
        </w:tc>
        <w:tc>
          <w:tcPr>
            <w:tcW w:w="38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卫生健康支出</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33.70</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33.70</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21011</w:t>
            </w:r>
          </w:p>
        </w:tc>
        <w:tc>
          <w:tcPr>
            <w:tcW w:w="38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行政事业单位医疗</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33.70</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33.70</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2101101</w:t>
            </w:r>
          </w:p>
        </w:tc>
        <w:tc>
          <w:tcPr>
            <w:tcW w:w="38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行政单位医疗</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7.82</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7.82</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2101102</w:t>
            </w:r>
          </w:p>
        </w:tc>
        <w:tc>
          <w:tcPr>
            <w:tcW w:w="38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事业单位医疗</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10.83</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10.83</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2101103</w:t>
            </w:r>
          </w:p>
        </w:tc>
        <w:tc>
          <w:tcPr>
            <w:tcW w:w="38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公务员医疗补助</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15.05</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15.05</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221</w:t>
            </w:r>
          </w:p>
        </w:tc>
        <w:tc>
          <w:tcPr>
            <w:tcW w:w="38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住房保障支出</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29.28</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29.28</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22102</w:t>
            </w:r>
          </w:p>
        </w:tc>
        <w:tc>
          <w:tcPr>
            <w:tcW w:w="38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住房改革支出</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29.28</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29.28</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2210201</w:t>
            </w:r>
          </w:p>
        </w:tc>
        <w:tc>
          <w:tcPr>
            <w:tcW w:w="38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住房公积金</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29.28</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29.28</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bl>
    <w:p>
      <w:r>
        <w:br w:type="page"/>
      </w:r>
    </w:p>
    <w:tbl>
      <w:tblPr>
        <w:tblStyle w:val="5"/>
        <w:tblpPr w:leftFromText="180" w:rightFromText="180" w:vertAnchor="text" w:horzAnchor="page" w:tblpXSpec="center" w:tblpY="183"/>
        <w:tblOverlap w:val="never"/>
        <w:tblW w:w="9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6"/>
        <w:gridCol w:w="1066"/>
        <w:gridCol w:w="2025"/>
        <w:gridCol w:w="1181"/>
        <w:gridCol w:w="1053"/>
        <w:gridCol w:w="1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58" w:type="dxa"/>
            <w:gridSpan w:val="6"/>
            <w:tcBorders>
              <w:top w:val="nil"/>
              <w:left w:val="nil"/>
              <w:bottom w:val="nil"/>
              <w:right w:val="nil"/>
            </w:tcBorders>
            <w:noWrap/>
            <w:vAlign w:val="center"/>
          </w:tcPr>
          <w:p>
            <w:pPr>
              <w:widowControl/>
              <w:ind w:right="201"/>
              <w:jc w:val="right"/>
              <w:rPr>
                <w:rFonts w:ascii="宋体" w:hAnsi="宋体" w:cs="宋体"/>
                <w:b/>
                <w:kern w:val="0"/>
                <w:sz w:val="20"/>
              </w:rPr>
            </w:pPr>
            <w:r>
              <w:rPr>
                <w:rFonts w:hint="eastAsia" w:ascii="宋体" w:hAnsi="宋体" w:cs="宋体"/>
                <w:b/>
                <w:kern w:val="0"/>
                <w:sz w:val="20"/>
              </w:rPr>
              <w:t>部门公开表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458"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58"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012"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446"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6"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066"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2025"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181"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053"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187"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一、本年收入</w:t>
            </w:r>
          </w:p>
        </w:tc>
        <w:tc>
          <w:tcPr>
            <w:tcW w:w="1066"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445.85</w:t>
            </w:r>
          </w:p>
        </w:tc>
        <w:tc>
          <w:tcPr>
            <w:tcW w:w="20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一、本年支出</w:t>
            </w:r>
          </w:p>
        </w:tc>
        <w:tc>
          <w:tcPr>
            <w:tcW w:w="1181"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445.85</w:t>
            </w:r>
          </w:p>
        </w:tc>
        <w:tc>
          <w:tcPr>
            <w:tcW w:w="1053"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445.85</w:t>
            </w:r>
          </w:p>
        </w:tc>
        <w:tc>
          <w:tcPr>
            <w:tcW w:w="11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（一）一般公共预算拨款收入</w:t>
            </w:r>
          </w:p>
        </w:tc>
        <w:tc>
          <w:tcPr>
            <w:tcW w:w="1066"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445.85</w:t>
            </w:r>
          </w:p>
        </w:tc>
        <w:tc>
          <w:tcPr>
            <w:tcW w:w="20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（一）一般公共服务支出</w:t>
            </w:r>
          </w:p>
        </w:tc>
        <w:tc>
          <w:tcPr>
            <w:tcW w:w="1181" w:type="dxa"/>
            <w:shd w:val="clear" w:color="auto" w:fill="FFFFFF"/>
            <w:noWrap/>
            <w:vAlign w:val="center"/>
          </w:tcPr>
          <w:p>
            <w:pPr>
              <w:widowControl/>
              <w:jc w:val="center"/>
              <w:rPr>
                <w:rFonts w:ascii="宋体" w:hAnsi="宋体" w:cs="宋体"/>
                <w:kern w:val="0"/>
                <w:sz w:val="20"/>
              </w:rPr>
            </w:pPr>
          </w:p>
        </w:tc>
        <w:tc>
          <w:tcPr>
            <w:tcW w:w="1053" w:type="dxa"/>
            <w:shd w:val="clear" w:color="auto" w:fill="FFFFFF"/>
            <w:noWrap/>
            <w:vAlign w:val="center"/>
          </w:tcPr>
          <w:p>
            <w:pPr>
              <w:widowControl/>
              <w:jc w:val="center"/>
              <w:rPr>
                <w:rFonts w:ascii="宋体" w:hAnsi="宋体" w:cs="宋体"/>
                <w:kern w:val="0"/>
                <w:sz w:val="20"/>
              </w:rPr>
            </w:pPr>
          </w:p>
        </w:tc>
        <w:tc>
          <w:tcPr>
            <w:tcW w:w="11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（二）政府性基金预算拨款收入</w:t>
            </w:r>
          </w:p>
        </w:tc>
        <w:tc>
          <w:tcPr>
            <w:tcW w:w="1066" w:type="dxa"/>
            <w:shd w:val="clear" w:color="auto" w:fill="FFFFFF"/>
            <w:noWrap/>
            <w:vAlign w:val="center"/>
          </w:tcPr>
          <w:p>
            <w:pPr>
              <w:widowControl/>
              <w:jc w:val="center"/>
              <w:rPr>
                <w:rFonts w:ascii="宋体" w:hAnsi="宋体" w:cs="宋体"/>
                <w:kern w:val="0"/>
                <w:sz w:val="20"/>
              </w:rPr>
            </w:pPr>
          </w:p>
        </w:tc>
        <w:tc>
          <w:tcPr>
            <w:tcW w:w="20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（二）外交支出</w:t>
            </w:r>
          </w:p>
        </w:tc>
        <w:tc>
          <w:tcPr>
            <w:tcW w:w="1181" w:type="dxa"/>
            <w:shd w:val="clear" w:color="auto" w:fill="FFFFFF"/>
            <w:noWrap/>
            <w:vAlign w:val="center"/>
          </w:tcPr>
          <w:p>
            <w:pPr>
              <w:widowControl/>
              <w:jc w:val="center"/>
              <w:rPr>
                <w:rFonts w:ascii="宋体" w:hAnsi="宋体" w:cs="宋体"/>
                <w:kern w:val="0"/>
                <w:sz w:val="20"/>
              </w:rPr>
            </w:pPr>
          </w:p>
        </w:tc>
        <w:tc>
          <w:tcPr>
            <w:tcW w:w="1053" w:type="dxa"/>
            <w:shd w:val="clear" w:color="auto" w:fill="FFFFFF"/>
            <w:noWrap/>
            <w:vAlign w:val="center"/>
          </w:tcPr>
          <w:p>
            <w:pPr>
              <w:widowControl/>
              <w:jc w:val="center"/>
              <w:rPr>
                <w:rFonts w:ascii="宋体" w:hAnsi="宋体" w:cs="宋体"/>
                <w:kern w:val="0"/>
                <w:sz w:val="20"/>
              </w:rPr>
            </w:pPr>
          </w:p>
        </w:tc>
        <w:tc>
          <w:tcPr>
            <w:tcW w:w="11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6" w:type="dxa"/>
            <w:shd w:val="clear" w:color="auto" w:fill="FFFFFF"/>
            <w:noWrap/>
            <w:vAlign w:val="center"/>
          </w:tcPr>
          <w:p>
            <w:pPr>
              <w:widowControl/>
              <w:jc w:val="left"/>
              <w:rPr>
                <w:rFonts w:ascii="宋体" w:hAnsi="宋体" w:cs="宋体"/>
                <w:kern w:val="0"/>
                <w:sz w:val="20"/>
              </w:rPr>
            </w:pPr>
          </w:p>
        </w:tc>
        <w:tc>
          <w:tcPr>
            <w:tcW w:w="1066" w:type="dxa"/>
            <w:shd w:val="clear" w:color="auto" w:fill="FFFFFF"/>
            <w:noWrap/>
            <w:vAlign w:val="center"/>
          </w:tcPr>
          <w:p>
            <w:pPr>
              <w:widowControl/>
              <w:jc w:val="center"/>
              <w:rPr>
                <w:rFonts w:ascii="宋体" w:hAnsi="宋体" w:cs="宋体"/>
                <w:kern w:val="0"/>
                <w:sz w:val="20"/>
              </w:rPr>
            </w:pPr>
          </w:p>
        </w:tc>
        <w:tc>
          <w:tcPr>
            <w:tcW w:w="20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（三）国防支出</w:t>
            </w:r>
          </w:p>
        </w:tc>
        <w:tc>
          <w:tcPr>
            <w:tcW w:w="1181" w:type="dxa"/>
            <w:shd w:val="clear" w:color="auto" w:fill="FFFFFF"/>
            <w:noWrap/>
            <w:vAlign w:val="center"/>
          </w:tcPr>
          <w:p>
            <w:pPr>
              <w:widowControl/>
              <w:jc w:val="center"/>
              <w:rPr>
                <w:rFonts w:ascii="宋体" w:hAnsi="宋体" w:cs="宋体"/>
                <w:kern w:val="0"/>
                <w:sz w:val="20"/>
              </w:rPr>
            </w:pPr>
          </w:p>
        </w:tc>
        <w:tc>
          <w:tcPr>
            <w:tcW w:w="1053" w:type="dxa"/>
            <w:shd w:val="clear" w:color="auto" w:fill="FFFFFF"/>
            <w:noWrap/>
            <w:vAlign w:val="center"/>
          </w:tcPr>
          <w:p>
            <w:pPr>
              <w:widowControl/>
              <w:jc w:val="center"/>
              <w:rPr>
                <w:rFonts w:ascii="宋体" w:hAnsi="宋体" w:cs="宋体"/>
                <w:kern w:val="0"/>
                <w:sz w:val="20"/>
              </w:rPr>
            </w:pPr>
          </w:p>
        </w:tc>
        <w:tc>
          <w:tcPr>
            <w:tcW w:w="11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6" w:type="dxa"/>
            <w:shd w:val="clear" w:color="auto" w:fill="FFFFFF"/>
            <w:noWrap/>
            <w:vAlign w:val="center"/>
          </w:tcPr>
          <w:p>
            <w:pPr>
              <w:widowControl/>
              <w:jc w:val="left"/>
              <w:rPr>
                <w:rFonts w:ascii="宋体" w:hAnsi="宋体" w:cs="宋体"/>
                <w:kern w:val="0"/>
                <w:sz w:val="20"/>
              </w:rPr>
            </w:pPr>
          </w:p>
        </w:tc>
        <w:tc>
          <w:tcPr>
            <w:tcW w:w="1066" w:type="dxa"/>
            <w:shd w:val="clear" w:color="auto" w:fill="FFFFFF"/>
            <w:noWrap/>
            <w:vAlign w:val="center"/>
          </w:tcPr>
          <w:p>
            <w:pPr>
              <w:widowControl/>
              <w:jc w:val="center"/>
              <w:rPr>
                <w:rFonts w:ascii="宋体" w:hAnsi="宋体" w:cs="宋体"/>
                <w:kern w:val="0"/>
                <w:sz w:val="20"/>
              </w:rPr>
            </w:pPr>
          </w:p>
        </w:tc>
        <w:tc>
          <w:tcPr>
            <w:tcW w:w="20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（四）公共安全支出</w:t>
            </w:r>
          </w:p>
        </w:tc>
        <w:tc>
          <w:tcPr>
            <w:tcW w:w="1181" w:type="dxa"/>
            <w:shd w:val="clear" w:color="auto" w:fill="FFFFFF"/>
            <w:noWrap/>
            <w:vAlign w:val="center"/>
          </w:tcPr>
          <w:p>
            <w:pPr>
              <w:widowControl/>
              <w:jc w:val="center"/>
              <w:rPr>
                <w:rFonts w:ascii="宋体" w:hAnsi="宋体" w:cs="宋体"/>
                <w:kern w:val="0"/>
                <w:sz w:val="20"/>
              </w:rPr>
            </w:pPr>
          </w:p>
        </w:tc>
        <w:tc>
          <w:tcPr>
            <w:tcW w:w="1053" w:type="dxa"/>
            <w:shd w:val="clear" w:color="auto" w:fill="FFFFFF"/>
            <w:noWrap/>
            <w:vAlign w:val="center"/>
          </w:tcPr>
          <w:p>
            <w:pPr>
              <w:widowControl/>
              <w:jc w:val="center"/>
              <w:rPr>
                <w:rFonts w:ascii="宋体" w:hAnsi="宋体" w:cs="宋体"/>
                <w:kern w:val="0"/>
                <w:sz w:val="20"/>
              </w:rPr>
            </w:pPr>
          </w:p>
        </w:tc>
        <w:tc>
          <w:tcPr>
            <w:tcW w:w="11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6" w:type="dxa"/>
            <w:shd w:val="clear" w:color="auto" w:fill="FFFFFF"/>
            <w:noWrap/>
            <w:vAlign w:val="center"/>
          </w:tcPr>
          <w:p>
            <w:pPr>
              <w:widowControl/>
              <w:jc w:val="left"/>
              <w:rPr>
                <w:rFonts w:ascii="宋体" w:hAnsi="宋体" w:cs="宋体"/>
                <w:kern w:val="0"/>
                <w:sz w:val="20"/>
              </w:rPr>
            </w:pPr>
          </w:p>
        </w:tc>
        <w:tc>
          <w:tcPr>
            <w:tcW w:w="1066" w:type="dxa"/>
            <w:shd w:val="clear" w:color="auto" w:fill="FFFFFF"/>
            <w:noWrap/>
            <w:vAlign w:val="center"/>
          </w:tcPr>
          <w:p>
            <w:pPr>
              <w:widowControl/>
              <w:jc w:val="center"/>
              <w:rPr>
                <w:rFonts w:ascii="宋体" w:hAnsi="宋体" w:cs="宋体"/>
                <w:kern w:val="0"/>
                <w:sz w:val="20"/>
              </w:rPr>
            </w:pPr>
          </w:p>
        </w:tc>
        <w:tc>
          <w:tcPr>
            <w:tcW w:w="20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（五）教育支出</w:t>
            </w:r>
          </w:p>
        </w:tc>
        <w:tc>
          <w:tcPr>
            <w:tcW w:w="1181"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312.71</w:t>
            </w:r>
          </w:p>
        </w:tc>
        <w:tc>
          <w:tcPr>
            <w:tcW w:w="1053"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312.71</w:t>
            </w:r>
          </w:p>
        </w:tc>
        <w:tc>
          <w:tcPr>
            <w:tcW w:w="11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6" w:type="dxa"/>
            <w:shd w:val="clear" w:color="auto" w:fill="FFFFFF"/>
            <w:noWrap/>
            <w:vAlign w:val="center"/>
          </w:tcPr>
          <w:p>
            <w:pPr>
              <w:widowControl/>
              <w:jc w:val="left"/>
              <w:rPr>
                <w:rFonts w:ascii="宋体" w:hAnsi="宋体" w:cs="宋体"/>
                <w:kern w:val="0"/>
                <w:sz w:val="20"/>
              </w:rPr>
            </w:pPr>
          </w:p>
        </w:tc>
        <w:tc>
          <w:tcPr>
            <w:tcW w:w="1066" w:type="dxa"/>
            <w:shd w:val="clear" w:color="auto" w:fill="FFFFFF"/>
            <w:noWrap/>
            <w:vAlign w:val="center"/>
          </w:tcPr>
          <w:p>
            <w:pPr>
              <w:widowControl/>
              <w:jc w:val="center"/>
              <w:rPr>
                <w:rFonts w:ascii="宋体" w:hAnsi="宋体" w:cs="宋体"/>
                <w:kern w:val="0"/>
                <w:sz w:val="20"/>
              </w:rPr>
            </w:pPr>
          </w:p>
        </w:tc>
        <w:tc>
          <w:tcPr>
            <w:tcW w:w="20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（六）科学技术支出</w:t>
            </w:r>
          </w:p>
        </w:tc>
        <w:tc>
          <w:tcPr>
            <w:tcW w:w="1181" w:type="dxa"/>
            <w:shd w:val="clear" w:color="auto" w:fill="FFFFFF"/>
            <w:noWrap/>
            <w:vAlign w:val="center"/>
          </w:tcPr>
          <w:p>
            <w:pPr>
              <w:widowControl/>
              <w:jc w:val="center"/>
              <w:rPr>
                <w:rFonts w:ascii="宋体" w:hAnsi="宋体" w:cs="宋体"/>
                <w:kern w:val="0"/>
                <w:sz w:val="20"/>
              </w:rPr>
            </w:pPr>
          </w:p>
        </w:tc>
        <w:tc>
          <w:tcPr>
            <w:tcW w:w="1053" w:type="dxa"/>
            <w:shd w:val="clear" w:color="auto" w:fill="FFFFFF"/>
            <w:noWrap/>
            <w:vAlign w:val="center"/>
          </w:tcPr>
          <w:p>
            <w:pPr>
              <w:widowControl/>
              <w:jc w:val="center"/>
              <w:rPr>
                <w:rFonts w:ascii="宋体" w:hAnsi="宋体" w:cs="宋体"/>
                <w:kern w:val="0"/>
                <w:sz w:val="20"/>
              </w:rPr>
            </w:pPr>
          </w:p>
        </w:tc>
        <w:tc>
          <w:tcPr>
            <w:tcW w:w="11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6" w:type="dxa"/>
            <w:shd w:val="clear" w:color="auto" w:fill="FFFFFF"/>
            <w:noWrap/>
            <w:vAlign w:val="center"/>
          </w:tcPr>
          <w:p>
            <w:pPr>
              <w:widowControl/>
              <w:jc w:val="left"/>
              <w:rPr>
                <w:rFonts w:ascii="宋体" w:hAnsi="宋体" w:cs="宋体"/>
                <w:kern w:val="0"/>
                <w:sz w:val="20"/>
              </w:rPr>
            </w:pPr>
          </w:p>
        </w:tc>
        <w:tc>
          <w:tcPr>
            <w:tcW w:w="1066" w:type="dxa"/>
            <w:shd w:val="clear" w:color="auto" w:fill="FFFFFF"/>
            <w:noWrap/>
            <w:vAlign w:val="center"/>
          </w:tcPr>
          <w:p>
            <w:pPr>
              <w:widowControl/>
              <w:jc w:val="center"/>
              <w:rPr>
                <w:rFonts w:ascii="宋体" w:hAnsi="宋体" w:cs="宋体"/>
                <w:kern w:val="0"/>
                <w:sz w:val="20"/>
              </w:rPr>
            </w:pPr>
          </w:p>
        </w:tc>
        <w:tc>
          <w:tcPr>
            <w:tcW w:w="20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（七）文化旅游体育与传媒支出</w:t>
            </w:r>
          </w:p>
        </w:tc>
        <w:tc>
          <w:tcPr>
            <w:tcW w:w="1181" w:type="dxa"/>
            <w:shd w:val="clear" w:color="auto" w:fill="FFFFFF"/>
            <w:noWrap/>
            <w:vAlign w:val="center"/>
          </w:tcPr>
          <w:p>
            <w:pPr>
              <w:widowControl/>
              <w:jc w:val="center"/>
              <w:rPr>
                <w:rFonts w:ascii="宋体" w:hAnsi="宋体" w:cs="宋体"/>
                <w:kern w:val="0"/>
                <w:sz w:val="20"/>
              </w:rPr>
            </w:pPr>
          </w:p>
        </w:tc>
        <w:tc>
          <w:tcPr>
            <w:tcW w:w="1053" w:type="dxa"/>
            <w:shd w:val="clear" w:color="auto" w:fill="FFFFFF"/>
            <w:noWrap/>
            <w:vAlign w:val="center"/>
          </w:tcPr>
          <w:p>
            <w:pPr>
              <w:widowControl/>
              <w:jc w:val="center"/>
              <w:rPr>
                <w:rFonts w:ascii="宋体" w:hAnsi="宋体" w:cs="宋体"/>
                <w:kern w:val="0"/>
                <w:sz w:val="20"/>
              </w:rPr>
            </w:pPr>
          </w:p>
        </w:tc>
        <w:tc>
          <w:tcPr>
            <w:tcW w:w="11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6" w:type="dxa"/>
            <w:shd w:val="clear" w:color="auto" w:fill="FFFFFF"/>
            <w:noWrap/>
            <w:vAlign w:val="center"/>
          </w:tcPr>
          <w:p>
            <w:pPr>
              <w:widowControl/>
              <w:jc w:val="left"/>
              <w:rPr>
                <w:rFonts w:ascii="宋体" w:hAnsi="宋体" w:cs="宋体"/>
                <w:kern w:val="0"/>
                <w:sz w:val="20"/>
              </w:rPr>
            </w:pPr>
          </w:p>
        </w:tc>
        <w:tc>
          <w:tcPr>
            <w:tcW w:w="1066" w:type="dxa"/>
            <w:shd w:val="clear" w:color="auto" w:fill="FFFFFF"/>
            <w:noWrap/>
            <w:vAlign w:val="center"/>
          </w:tcPr>
          <w:p>
            <w:pPr>
              <w:widowControl/>
              <w:jc w:val="center"/>
              <w:rPr>
                <w:rFonts w:ascii="宋体" w:hAnsi="宋体" w:cs="宋体"/>
                <w:kern w:val="0"/>
                <w:sz w:val="20"/>
              </w:rPr>
            </w:pPr>
          </w:p>
        </w:tc>
        <w:tc>
          <w:tcPr>
            <w:tcW w:w="20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（八）社会保障和就业支出</w:t>
            </w:r>
          </w:p>
        </w:tc>
        <w:tc>
          <w:tcPr>
            <w:tcW w:w="1181"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70.16</w:t>
            </w:r>
          </w:p>
        </w:tc>
        <w:tc>
          <w:tcPr>
            <w:tcW w:w="1053"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70.16</w:t>
            </w:r>
          </w:p>
        </w:tc>
        <w:tc>
          <w:tcPr>
            <w:tcW w:w="11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6" w:type="dxa"/>
            <w:shd w:val="clear" w:color="auto" w:fill="FFFFFF"/>
            <w:noWrap/>
            <w:vAlign w:val="center"/>
          </w:tcPr>
          <w:p>
            <w:pPr>
              <w:widowControl/>
              <w:jc w:val="left"/>
              <w:rPr>
                <w:rFonts w:ascii="宋体" w:hAnsi="宋体" w:cs="宋体"/>
                <w:kern w:val="0"/>
                <w:sz w:val="20"/>
              </w:rPr>
            </w:pPr>
          </w:p>
        </w:tc>
        <w:tc>
          <w:tcPr>
            <w:tcW w:w="1066" w:type="dxa"/>
            <w:shd w:val="clear" w:color="auto" w:fill="FFFFFF"/>
            <w:noWrap/>
            <w:vAlign w:val="center"/>
          </w:tcPr>
          <w:p>
            <w:pPr>
              <w:widowControl/>
              <w:jc w:val="center"/>
              <w:rPr>
                <w:rFonts w:ascii="宋体" w:hAnsi="宋体" w:cs="宋体"/>
                <w:kern w:val="0"/>
                <w:sz w:val="20"/>
              </w:rPr>
            </w:pPr>
          </w:p>
        </w:tc>
        <w:tc>
          <w:tcPr>
            <w:tcW w:w="20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（九）社会保险基金支出</w:t>
            </w:r>
          </w:p>
        </w:tc>
        <w:tc>
          <w:tcPr>
            <w:tcW w:w="1181" w:type="dxa"/>
            <w:shd w:val="clear" w:color="auto" w:fill="FFFFFF"/>
            <w:noWrap/>
            <w:vAlign w:val="center"/>
          </w:tcPr>
          <w:p>
            <w:pPr>
              <w:widowControl/>
              <w:jc w:val="center"/>
              <w:rPr>
                <w:rFonts w:ascii="宋体" w:hAnsi="宋体" w:cs="宋体"/>
                <w:kern w:val="0"/>
                <w:sz w:val="20"/>
              </w:rPr>
            </w:pPr>
          </w:p>
        </w:tc>
        <w:tc>
          <w:tcPr>
            <w:tcW w:w="1053" w:type="dxa"/>
            <w:shd w:val="clear" w:color="auto" w:fill="FFFFFF"/>
            <w:noWrap/>
            <w:vAlign w:val="center"/>
          </w:tcPr>
          <w:p>
            <w:pPr>
              <w:widowControl/>
              <w:jc w:val="center"/>
              <w:rPr>
                <w:rFonts w:ascii="宋体" w:hAnsi="宋体" w:cs="宋体"/>
                <w:kern w:val="0"/>
                <w:sz w:val="20"/>
              </w:rPr>
            </w:pPr>
          </w:p>
        </w:tc>
        <w:tc>
          <w:tcPr>
            <w:tcW w:w="11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6" w:type="dxa"/>
            <w:shd w:val="clear" w:color="auto" w:fill="FFFFFF"/>
            <w:noWrap/>
            <w:vAlign w:val="center"/>
          </w:tcPr>
          <w:p>
            <w:pPr>
              <w:widowControl/>
              <w:jc w:val="left"/>
              <w:rPr>
                <w:rFonts w:ascii="宋体" w:hAnsi="宋体" w:cs="宋体"/>
                <w:kern w:val="0"/>
                <w:sz w:val="20"/>
              </w:rPr>
            </w:pPr>
          </w:p>
        </w:tc>
        <w:tc>
          <w:tcPr>
            <w:tcW w:w="1066" w:type="dxa"/>
            <w:shd w:val="clear" w:color="auto" w:fill="FFFFFF"/>
            <w:noWrap/>
            <w:vAlign w:val="center"/>
          </w:tcPr>
          <w:p>
            <w:pPr>
              <w:widowControl/>
              <w:jc w:val="center"/>
              <w:rPr>
                <w:rFonts w:ascii="宋体" w:hAnsi="宋体" w:cs="宋体"/>
                <w:kern w:val="0"/>
                <w:sz w:val="20"/>
              </w:rPr>
            </w:pPr>
          </w:p>
        </w:tc>
        <w:tc>
          <w:tcPr>
            <w:tcW w:w="20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（十）卫生健康支出</w:t>
            </w:r>
          </w:p>
        </w:tc>
        <w:tc>
          <w:tcPr>
            <w:tcW w:w="1181"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33.70</w:t>
            </w:r>
          </w:p>
        </w:tc>
        <w:tc>
          <w:tcPr>
            <w:tcW w:w="1053"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33.70</w:t>
            </w:r>
          </w:p>
        </w:tc>
        <w:tc>
          <w:tcPr>
            <w:tcW w:w="11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6" w:type="dxa"/>
            <w:shd w:val="clear" w:color="auto" w:fill="FFFFFF"/>
            <w:noWrap/>
            <w:vAlign w:val="center"/>
          </w:tcPr>
          <w:p>
            <w:pPr>
              <w:widowControl/>
              <w:jc w:val="left"/>
              <w:rPr>
                <w:rFonts w:ascii="宋体" w:hAnsi="宋体" w:cs="宋体"/>
                <w:kern w:val="0"/>
                <w:sz w:val="20"/>
              </w:rPr>
            </w:pPr>
          </w:p>
        </w:tc>
        <w:tc>
          <w:tcPr>
            <w:tcW w:w="1066" w:type="dxa"/>
            <w:shd w:val="clear" w:color="auto" w:fill="FFFFFF"/>
            <w:noWrap/>
            <w:vAlign w:val="center"/>
          </w:tcPr>
          <w:p>
            <w:pPr>
              <w:widowControl/>
              <w:jc w:val="center"/>
              <w:rPr>
                <w:rFonts w:ascii="宋体" w:hAnsi="宋体" w:cs="宋体"/>
                <w:kern w:val="0"/>
                <w:sz w:val="20"/>
              </w:rPr>
            </w:pPr>
          </w:p>
        </w:tc>
        <w:tc>
          <w:tcPr>
            <w:tcW w:w="20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（十一）节能环保支出</w:t>
            </w:r>
          </w:p>
        </w:tc>
        <w:tc>
          <w:tcPr>
            <w:tcW w:w="1181" w:type="dxa"/>
            <w:shd w:val="clear" w:color="auto" w:fill="FFFFFF"/>
            <w:noWrap/>
            <w:vAlign w:val="center"/>
          </w:tcPr>
          <w:p>
            <w:pPr>
              <w:widowControl/>
              <w:jc w:val="center"/>
              <w:rPr>
                <w:rFonts w:ascii="宋体" w:hAnsi="宋体" w:cs="宋体"/>
                <w:kern w:val="0"/>
                <w:sz w:val="20"/>
              </w:rPr>
            </w:pPr>
          </w:p>
        </w:tc>
        <w:tc>
          <w:tcPr>
            <w:tcW w:w="1053" w:type="dxa"/>
            <w:shd w:val="clear" w:color="auto" w:fill="FFFFFF"/>
            <w:noWrap/>
            <w:vAlign w:val="center"/>
          </w:tcPr>
          <w:p>
            <w:pPr>
              <w:widowControl/>
              <w:jc w:val="center"/>
              <w:rPr>
                <w:rFonts w:ascii="宋体" w:hAnsi="宋体" w:cs="宋体"/>
                <w:kern w:val="0"/>
                <w:sz w:val="20"/>
              </w:rPr>
            </w:pPr>
          </w:p>
        </w:tc>
        <w:tc>
          <w:tcPr>
            <w:tcW w:w="11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6" w:type="dxa"/>
            <w:shd w:val="clear" w:color="auto" w:fill="FFFFFF"/>
            <w:noWrap/>
            <w:vAlign w:val="center"/>
          </w:tcPr>
          <w:p>
            <w:pPr>
              <w:widowControl/>
              <w:jc w:val="left"/>
              <w:rPr>
                <w:rFonts w:ascii="宋体" w:hAnsi="宋体" w:cs="宋体"/>
                <w:kern w:val="0"/>
                <w:sz w:val="20"/>
              </w:rPr>
            </w:pPr>
          </w:p>
        </w:tc>
        <w:tc>
          <w:tcPr>
            <w:tcW w:w="1066" w:type="dxa"/>
            <w:shd w:val="clear" w:color="auto" w:fill="FFFFFF"/>
            <w:noWrap/>
            <w:vAlign w:val="center"/>
          </w:tcPr>
          <w:p>
            <w:pPr>
              <w:widowControl/>
              <w:jc w:val="center"/>
              <w:rPr>
                <w:rFonts w:ascii="宋体" w:hAnsi="宋体" w:cs="宋体"/>
                <w:kern w:val="0"/>
                <w:sz w:val="20"/>
              </w:rPr>
            </w:pPr>
          </w:p>
        </w:tc>
        <w:tc>
          <w:tcPr>
            <w:tcW w:w="20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（十二）城乡社区支出</w:t>
            </w:r>
          </w:p>
        </w:tc>
        <w:tc>
          <w:tcPr>
            <w:tcW w:w="1181" w:type="dxa"/>
            <w:shd w:val="clear" w:color="auto" w:fill="FFFFFF"/>
            <w:noWrap/>
            <w:vAlign w:val="center"/>
          </w:tcPr>
          <w:p>
            <w:pPr>
              <w:widowControl/>
              <w:jc w:val="center"/>
              <w:rPr>
                <w:rFonts w:ascii="宋体" w:hAnsi="宋体" w:cs="宋体"/>
                <w:kern w:val="0"/>
                <w:sz w:val="20"/>
              </w:rPr>
            </w:pPr>
          </w:p>
        </w:tc>
        <w:tc>
          <w:tcPr>
            <w:tcW w:w="1053" w:type="dxa"/>
            <w:shd w:val="clear" w:color="auto" w:fill="FFFFFF"/>
            <w:noWrap/>
            <w:vAlign w:val="center"/>
          </w:tcPr>
          <w:p>
            <w:pPr>
              <w:widowControl/>
              <w:jc w:val="center"/>
              <w:rPr>
                <w:rFonts w:ascii="宋体" w:hAnsi="宋体" w:cs="宋体"/>
                <w:kern w:val="0"/>
                <w:sz w:val="20"/>
              </w:rPr>
            </w:pPr>
          </w:p>
        </w:tc>
        <w:tc>
          <w:tcPr>
            <w:tcW w:w="11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6" w:type="dxa"/>
            <w:shd w:val="clear" w:color="auto" w:fill="FFFFFF"/>
            <w:noWrap/>
            <w:vAlign w:val="center"/>
          </w:tcPr>
          <w:p>
            <w:pPr>
              <w:widowControl/>
              <w:jc w:val="left"/>
              <w:rPr>
                <w:rFonts w:ascii="宋体" w:hAnsi="宋体" w:cs="宋体"/>
                <w:kern w:val="0"/>
                <w:sz w:val="20"/>
              </w:rPr>
            </w:pPr>
          </w:p>
        </w:tc>
        <w:tc>
          <w:tcPr>
            <w:tcW w:w="1066" w:type="dxa"/>
            <w:shd w:val="clear" w:color="auto" w:fill="FFFFFF"/>
            <w:noWrap/>
            <w:vAlign w:val="center"/>
          </w:tcPr>
          <w:p>
            <w:pPr>
              <w:widowControl/>
              <w:jc w:val="center"/>
              <w:rPr>
                <w:rFonts w:ascii="宋体" w:hAnsi="宋体" w:cs="宋体"/>
                <w:kern w:val="0"/>
                <w:sz w:val="20"/>
              </w:rPr>
            </w:pPr>
          </w:p>
        </w:tc>
        <w:tc>
          <w:tcPr>
            <w:tcW w:w="20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（十三）农林水支出</w:t>
            </w:r>
          </w:p>
        </w:tc>
        <w:tc>
          <w:tcPr>
            <w:tcW w:w="1181" w:type="dxa"/>
            <w:shd w:val="clear" w:color="auto" w:fill="FFFFFF"/>
            <w:noWrap/>
            <w:vAlign w:val="center"/>
          </w:tcPr>
          <w:p>
            <w:pPr>
              <w:widowControl/>
              <w:jc w:val="center"/>
              <w:rPr>
                <w:rFonts w:ascii="宋体" w:hAnsi="宋体" w:cs="宋体"/>
                <w:kern w:val="0"/>
                <w:sz w:val="20"/>
              </w:rPr>
            </w:pPr>
          </w:p>
        </w:tc>
        <w:tc>
          <w:tcPr>
            <w:tcW w:w="1053" w:type="dxa"/>
            <w:shd w:val="clear" w:color="auto" w:fill="FFFFFF"/>
            <w:noWrap/>
            <w:vAlign w:val="center"/>
          </w:tcPr>
          <w:p>
            <w:pPr>
              <w:widowControl/>
              <w:jc w:val="center"/>
              <w:rPr>
                <w:rFonts w:ascii="宋体" w:hAnsi="宋体" w:cs="宋体"/>
                <w:kern w:val="0"/>
                <w:sz w:val="20"/>
              </w:rPr>
            </w:pPr>
          </w:p>
        </w:tc>
        <w:tc>
          <w:tcPr>
            <w:tcW w:w="11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6" w:type="dxa"/>
            <w:shd w:val="clear" w:color="auto" w:fill="FFFFFF"/>
            <w:noWrap/>
            <w:vAlign w:val="center"/>
          </w:tcPr>
          <w:p>
            <w:pPr>
              <w:widowControl/>
              <w:jc w:val="left"/>
              <w:rPr>
                <w:rFonts w:ascii="宋体" w:hAnsi="宋体" w:cs="宋体"/>
                <w:kern w:val="0"/>
                <w:sz w:val="20"/>
              </w:rPr>
            </w:pPr>
          </w:p>
        </w:tc>
        <w:tc>
          <w:tcPr>
            <w:tcW w:w="1066" w:type="dxa"/>
            <w:shd w:val="clear" w:color="auto" w:fill="FFFFFF"/>
            <w:noWrap/>
            <w:vAlign w:val="center"/>
          </w:tcPr>
          <w:p>
            <w:pPr>
              <w:widowControl/>
              <w:jc w:val="center"/>
              <w:rPr>
                <w:rFonts w:ascii="宋体" w:hAnsi="宋体" w:cs="宋体"/>
                <w:kern w:val="0"/>
                <w:sz w:val="20"/>
              </w:rPr>
            </w:pPr>
          </w:p>
        </w:tc>
        <w:tc>
          <w:tcPr>
            <w:tcW w:w="20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（十四）交通运输支出</w:t>
            </w:r>
          </w:p>
        </w:tc>
        <w:tc>
          <w:tcPr>
            <w:tcW w:w="1181" w:type="dxa"/>
            <w:shd w:val="clear" w:color="auto" w:fill="FFFFFF"/>
            <w:noWrap/>
            <w:vAlign w:val="center"/>
          </w:tcPr>
          <w:p>
            <w:pPr>
              <w:widowControl/>
              <w:jc w:val="center"/>
              <w:rPr>
                <w:rFonts w:ascii="宋体" w:hAnsi="宋体" w:cs="宋体"/>
                <w:kern w:val="0"/>
                <w:sz w:val="20"/>
              </w:rPr>
            </w:pPr>
          </w:p>
        </w:tc>
        <w:tc>
          <w:tcPr>
            <w:tcW w:w="1053" w:type="dxa"/>
            <w:shd w:val="clear" w:color="auto" w:fill="FFFFFF"/>
            <w:noWrap/>
            <w:vAlign w:val="center"/>
          </w:tcPr>
          <w:p>
            <w:pPr>
              <w:widowControl/>
              <w:jc w:val="center"/>
              <w:rPr>
                <w:rFonts w:ascii="宋体" w:hAnsi="宋体" w:cs="宋体"/>
                <w:kern w:val="0"/>
                <w:sz w:val="20"/>
              </w:rPr>
            </w:pPr>
          </w:p>
        </w:tc>
        <w:tc>
          <w:tcPr>
            <w:tcW w:w="11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6" w:type="dxa"/>
            <w:shd w:val="clear" w:color="auto" w:fill="FFFFFF"/>
            <w:noWrap/>
            <w:vAlign w:val="center"/>
          </w:tcPr>
          <w:p>
            <w:pPr>
              <w:widowControl/>
              <w:jc w:val="left"/>
              <w:rPr>
                <w:rFonts w:ascii="宋体" w:hAnsi="宋体" w:cs="宋体"/>
                <w:kern w:val="0"/>
                <w:sz w:val="20"/>
              </w:rPr>
            </w:pPr>
          </w:p>
        </w:tc>
        <w:tc>
          <w:tcPr>
            <w:tcW w:w="1066" w:type="dxa"/>
            <w:shd w:val="clear" w:color="auto" w:fill="FFFFFF"/>
            <w:noWrap/>
            <w:vAlign w:val="center"/>
          </w:tcPr>
          <w:p>
            <w:pPr>
              <w:widowControl/>
              <w:jc w:val="center"/>
              <w:rPr>
                <w:rFonts w:ascii="宋体" w:hAnsi="宋体" w:cs="宋体"/>
                <w:kern w:val="0"/>
                <w:sz w:val="20"/>
              </w:rPr>
            </w:pPr>
          </w:p>
        </w:tc>
        <w:tc>
          <w:tcPr>
            <w:tcW w:w="20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（十五）资源勘探工业信息等支出</w:t>
            </w:r>
          </w:p>
        </w:tc>
        <w:tc>
          <w:tcPr>
            <w:tcW w:w="1181" w:type="dxa"/>
            <w:shd w:val="clear" w:color="auto" w:fill="FFFFFF"/>
            <w:noWrap/>
            <w:vAlign w:val="center"/>
          </w:tcPr>
          <w:p>
            <w:pPr>
              <w:widowControl/>
              <w:jc w:val="center"/>
              <w:rPr>
                <w:rFonts w:ascii="宋体" w:hAnsi="宋体" w:cs="宋体"/>
                <w:kern w:val="0"/>
                <w:sz w:val="20"/>
              </w:rPr>
            </w:pPr>
          </w:p>
        </w:tc>
        <w:tc>
          <w:tcPr>
            <w:tcW w:w="1053" w:type="dxa"/>
            <w:shd w:val="clear" w:color="auto" w:fill="FFFFFF"/>
            <w:noWrap/>
            <w:vAlign w:val="center"/>
          </w:tcPr>
          <w:p>
            <w:pPr>
              <w:widowControl/>
              <w:jc w:val="center"/>
              <w:rPr>
                <w:rFonts w:ascii="宋体" w:hAnsi="宋体" w:cs="宋体"/>
                <w:kern w:val="0"/>
                <w:sz w:val="20"/>
              </w:rPr>
            </w:pPr>
          </w:p>
        </w:tc>
        <w:tc>
          <w:tcPr>
            <w:tcW w:w="11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6" w:type="dxa"/>
            <w:shd w:val="clear" w:color="auto" w:fill="FFFFFF"/>
            <w:noWrap/>
            <w:vAlign w:val="center"/>
          </w:tcPr>
          <w:p>
            <w:pPr>
              <w:widowControl/>
              <w:jc w:val="left"/>
              <w:rPr>
                <w:rFonts w:ascii="宋体" w:hAnsi="宋体" w:cs="宋体"/>
                <w:kern w:val="0"/>
                <w:sz w:val="20"/>
              </w:rPr>
            </w:pPr>
          </w:p>
        </w:tc>
        <w:tc>
          <w:tcPr>
            <w:tcW w:w="1066" w:type="dxa"/>
            <w:shd w:val="clear" w:color="auto" w:fill="FFFFFF"/>
            <w:noWrap/>
            <w:vAlign w:val="center"/>
          </w:tcPr>
          <w:p>
            <w:pPr>
              <w:widowControl/>
              <w:jc w:val="center"/>
              <w:rPr>
                <w:rFonts w:ascii="宋体" w:hAnsi="宋体" w:cs="宋体"/>
                <w:kern w:val="0"/>
                <w:sz w:val="20"/>
              </w:rPr>
            </w:pPr>
          </w:p>
        </w:tc>
        <w:tc>
          <w:tcPr>
            <w:tcW w:w="20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（十六）商业服务业等支出</w:t>
            </w:r>
          </w:p>
        </w:tc>
        <w:tc>
          <w:tcPr>
            <w:tcW w:w="1181" w:type="dxa"/>
            <w:shd w:val="clear" w:color="auto" w:fill="FFFFFF"/>
            <w:noWrap/>
            <w:vAlign w:val="center"/>
          </w:tcPr>
          <w:p>
            <w:pPr>
              <w:widowControl/>
              <w:jc w:val="center"/>
              <w:rPr>
                <w:rFonts w:ascii="宋体" w:hAnsi="宋体" w:cs="宋体"/>
                <w:kern w:val="0"/>
                <w:sz w:val="20"/>
              </w:rPr>
            </w:pPr>
          </w:p>
        </w:tc>
        <w:tc>
          <w:tcPr>
            <w:tcW w:w="1053" w:type="dxa"/>
            <w:shd w:val="clear" w:color="auto" w:fill="FFFFFF"/>
            <w:noWrap/>
            <w:vAlign w:val="center"/>
          </w:tcPr>
          <w:p>
            <w:pPr>
              <w:widowControl/>
              <w:jc w:val="center"/>
              <w:rPr>
                <w:rFonts w:ascii="宋体" w:hAnsi="宋体" w:cs="宋体"/>
                <w:kern w:val="0"/>
                <w:sz w:val="20"/>
              </w:rPr>
            </w:pPr>
          </w:p>
        </w:tc>
        <w:tc>
          <w:tcPr>
            <w:tcW w:w="11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6" w:type="dxa"/>
            <w:shd w:val="clear" w:color="auto" w:fill="FFFFFF"/>
            <w:noWrap/>
            <w:vAlign w:val="center"/>
          </w:tcPr>
          <w:p>
            <w:pPr>
              <w:widowControl/>
              <w:jc w:val="left"/>
              <w:rPr>
                <w:rFonts w:ascii="宋体" w:hAnsi="宋体" w:cs="宋体"/>
                <w:kern w:val="0"/>
                <w:sz w:val="20"/>
              </w:rPr>
            </w:pPr>
          </w:p>
        </w:tc>
        <w:tc>
          <w:tcPr>
            <w:tcW w:w="1066" w:type="dxa"/>
            <w:shd w:val="clear" w:color="auto" w:fill="FFFFFF"/>
            <w:noWrap/>
            <w:vAlign w:val="center"/>
          </w:tcPr>
          <w:p>
            <w:pPr>
              <w:widowControl/>
              <w:jc w:val="center"/>
              <w:rPr>
                <w:rFonts w:ascii="宋体" w:hAnsi="宋体" w:cs="宋体"/>
                <w:kern w:val="0"/>
                <w:sz w:val="20"/>
              </w:rPr>
            </w:pPr>
          </w:p>
        </w:tc>
        <w:tc>
          <w:tcPr>
            <w:tcW w:w="20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（十七）金融支出</w:t>
            </w:r>
          </w:p>
        </w:tc>
        <w:tc>
          <w:tcPr>
            <w:tcW w:w="1181" w:type="dxa"/>
            <w:shd w:val="clear" w:color="auto" w:fill="FFFFFF"/>
            <w:noWrap/>
            <w:vAlign w:val="center"/>
          </w:tcPr>
          <w:p>
            <w:pPr>
              <w:widowControl/>
              <w:jc w:val="center"/>
              <w:rPr>
                <w:rFonts w:ascii="宋体" w:hAnsi="宋体" w:cs="宋体"/>
                <w:kern w:val="0"/>
                <w:sz w:val="20"/>
              </w:rPr>
            </w:pPr>
          </w:p>
        </w:tc>
        <w:tc>
          <w:tcPr>
            <w:tcW w:w="1053" w:type="dxa"/>
            <w:shd w:val="clear" w:color="auto" w:fill="FFFFFF"/>
            <w:noWrap/>
            <w:vAlign w:val="center"/>
          </w:tcPr>
          <w:p>
            <w:pPr>
              <w:widowControl/>
              <w:jc w:val="center"/>
              <w:rPr>
                <w:rFonts w:ascii="宋体" w:hAnsi="宋体" w:cs="宋体"/>
                <w:kern w:val="0"/>
                <w:sz w:val="20"/>
              </w:rPr>
            </w:pPr>
          </w:p>
        </w:tc>
        <w:tc>
          <w:tcPr>
            <w:tcW w:w="11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6" w:type="dxa"/>
            <w:shd w:val="clear" w:color="auto" w:fill="FFFFFF"/>
            <w:noWrap/>
            <w:vAlign w:val="center"/>
          </w:tcPr>
          <w:p>
            <w:pPr>
              <w:widowControl/>
              <w:jc w:val="left"/>
              <w:rPr>
                <w:rFonts w:ascii="宋体" w:hAnsi="宋体" w:cs="宋体"/>
                <w:kern w:val="0"/>
                <w:sz w:val="20"/>
              </w:rPr>
            </w:pPr>
          </w:p>
        </w:tc>
        <w:tc>
          <w:tcPr>
            <w:tcW w:w="1066" w:type="dxa"/>
            <w:shd w:val="clear" w:color="auto" w:fill="FFFFFF"/>
            <w:noWrap/>
            <w:vAlign w:val="center"/>
          </w:tcPr>
          <w:p>
            <w:pPr>
              <w:widowControl/>
              <w:jc w:val="center"/>
              <w:rPr>
                <w:rFonts w:ascii="宋体" w:hAnsi="宋体" w:cs="宋体"/>
                <w:kern w:val="0"/>
                <w:sz w:val="20"/>
              </w:rPr>
            </w:pPr>
          </w:p>
        </w:tc>
        <w:tc>
          <w:tcPr>
            <w:tcW w:w="20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（十八）援助其他地区支出</w:t>
            </w:r>
          </w:p>
        </w:tc>
        <w:tc>
          <w:tcPr>
            <w:tcW w:w="1181" w:type="dxa"/>
            <w:shd w:val="clear" w:color="auto" w:fill="FFFFFF"/>
            <w:noWrap/>
            <w:vAlign w:val="center"/>
          </w:tcPr>
          <w:p>
            <w:pPr>
              <w:widowControl/>
              <w:jc w:val="center"/>
              <w:rPr>
                <w:rFonts w:ascii="宋体" w:hAnsi="宋体" w:cs="宋体"/>
                <w:kern w:val="0"/>
                <w:sz w:val="20"/>
              </w:rPr>
            </w:pPr>
          </w:p>
        </w:tc>
        <w:tc>
          <w:tcPr>
            <w:tcW w:w="1053" w:type="dxa"/>
            <w:shd w:val="clear" w:color="auto" w:fill="FFFFFF"/>
            <w:noWrap/>
            <w:vAlign w:val="center"/>
          </w:tcPr>
          <w:p>
            <w:pPr>
              <w:widowControl/>
              <w:jc w:val="center"/>
              <w:rPr>
                <w:rFonts w:ascii="宋体" w:hAnsi="宋体" w:cs="宋体"/>
                <w:kern w:val="0"/>
                <w:sz w:val="20"/>
              </w:rPr>
            </w:pPr>
          </w:p>
        </w:tc>
        <w:tc>
          <w:tcPr>
            <w:tcW w:w="11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6" w:type="dxa"/>
            <w:shd w:val="clear" w:color="auto" w:fill="FFFFFF"/>
            <w:noWrap/>
            <w:vAlign w:val="center"/>
          </w:tcPr>
          <w:p>
            <w:pPr>
              <w:widowControl/>
              <w:jc w:val="left"/>
              <w:rPr>
                <w:rFonts w:ascii="宋体" w:hAnsi="宋体" w:cs="宋体"/>
                <w:kern w:val="0"/>
                <w:sz w:val="20"/>
              </w:rPr>
            </w:pPr>
          </w:p>
        </w:tc>
        <w:tc>
          <w:tcPr>
            <w:tcW w:w="1066" w:type="dxa"/>
            <w:shd w:val="clear" w:color="auto" w:fill="FFFFFF"/>
            <w:noWrap/>
            <w:vAlign w:val="center"/>
          </w:tcPr>
          <w:p>
            <w:pPr>
              <w:widowControl/>
              <w:jc w:val="center"/>
              <w:rPr>
                <w:rFonts w:ascii="宋体" w:hAnsi="宋体" w:cs="宋体"/>
                <w:kern w:val="0"/>
                <w:sz w:val="20"/>
              </w:rPr>
            </w:pPr>
          </w:p>
        </w:tc>
        <w:tc>
          <w:tcPr>
            <w:tcW w:w="20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（十九）自然资源海洋气象等支出</w:t>
            </w:r>
          </w:p>
        </w:tc>
        <w:tc>
          <w:tcPr>
            <w:tcW w:w="1181" w:type="dxa"/>
            <w:shd w:val="clear" w:color="auto" w:fill="FFFFFF"/>
            <w:noWrap/>
            <w:vAlign w:val="center"/>
          </w:tcPr>
          <w:p>
            <w:pPr>
              <w:widowControl/>
              <w:jc w:val="center"/>
              <w:rPr>
                <w:rFonts w:ascii="宋体" w:hAnsi="宋体" w:cs="宋体"/>
                <w:kern w:val="0"/>
                <w:sz w:val="20"/>
              </w:rPr>
            </w:pPr>
          </w:p>
        </w:tc>
        <w:tc>
          <w:tcPr>
            <w:tcW w:w="1053" w:type="dxa"/>
            <w:shd w:val="clear" w:color="auto" w:fill="FFFFFF"/>
            <w:noWrap/>
            <w:vAlign w:val="center"/>
          </w:tcPr>
          <w:p>
            <w:pPr>
              <w:widowControl/>
              <w:jc w:val="center"/>
              <w:rPr>
                <w:rFonts w:ascii="宋体" w:hAnsi="宋体" w:cs="宋体"/>
                <w:kern w:val="0"/>
                <w:sz w:val="20"/>
              </w:rPr>
            </w:pPr>
          </w:p>
        </w:tc>
        <w:tc>
          <w:tcPr>
            <w:tcW w:w="11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6" w:type="dxa"/>
            <w:shd w:val="clear" w:color="auto" w:fill="FFFFFF"/>
            <w:noWrap/>
            <w:vAlign w:val="center"/>
          </w:tcPr>
          <w:p>
            <w:pPr>
              <w:widowControl/>
              <w:jc w:val="left"/>
              <w:rPr>
                <w:rFonts w:ascii="宋体" w:hAnsi="宋体" w:cs="宋体"/>
                <w:kern w:val="0"/>
                <w:sz w:val="20"/>
              </w:rPr>
            </w:pPr>
          </w:p>
        </w:tc>
        <w:tc>
          <w:tcPr>
            <w:tcW w:w="1066" w:type="dxa"/>
            <w:shd w:val="clear" w:color="auto" w:fill="FFFFFF"/>
            <w:noWrap/>
            <w:vAlign w:val="center"/>
          </w:tcPr>
          <w:p>
            <w:pPr>
              <w:widowControl/>
              <w:jc w:val="center"/>
              <w:rPr>
                <w:rFonts w:ascii="宋体" w:hAnsi="宋体" w:cs="宋体"/>
                <w:kern w:val="0"/>
                <w:sz w:val="20"/>
              </w:rPr>
            </w:pPr>
          </w:p>
        </w:tc>
        <w:tc>
          <w:tcPr>
            <w:tcW w:w="20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（二十）住房保障支出</w:t>
            </w:r>
          </w:p>
        </w:tc>
        <w:tc>
          <w:tcPr>
            <w:tcW w:w="1181"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29.28</w:t>
            </w:r>
          </w:p>
        </w:tc>
        <w:tc>
          <w:tcPr>
            <w:tcW w:w="1053"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29.28</w:t>
            </w:r>
          </w:p>
        </w:tc>
        <w:tc>
          <w:tcPr>
            <w:tcW w:w="11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6" w:type="dxa"/>
            <w:shd w:val="clear" w:color="auto" w:fill="FFFFFF"/>
            <w:noWrap/>
            <w:vAlign w:val="center"/>
          </w:tcPr>
          <w:p>
            <w:pPr>
              <w:widowControl/>
              <w:jc w:val="left"/>
              <w:rPr>
                <w:rFonts w:ascii="宋体" w:hAnsi="宋体" w:cs="宋体"/>
                <w:kern w:val="0"/>
                <w:sz w:val="20"/>
              </w:rPr>
            </w:pPr>
          </w:p>
        </w:tc>
        <w:tc>
          <w:tcPr>
            <w:tcW w:w="1066" w:type="dxa"/>
            <w:shd w:val="clear" w:color="auto" w:fill="FFFFFF"/>
            <w:noWrap/>
            <w:vAlign w:val="center"/>
          </w:tcPr>
          <w:p>
            <w:pPr>
              <w:widowControl/>
              <w:jc w:val="center"/>
              <w:rPr>
                <w:rFonts w:ascii="宋体" w:hAnsi="宋体" w:cs="宋体"/>
                <w:kern w:val="0"/>
                <w:sz w:val="20"/>
              </w:rPr>
            </w:pPr>
          </w:p>
        </w:tc>
        <w:tc>
          <w:tcPr>
            <w:tcW w:w="20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（二十一）粮油物资储备支出</w:t>
            </w:r>
          </w:p>
        </w:tc>
        <w:tc>
          <w:tcPr>
            <w:tcW w:w="1181" w:type="dxa"/>
            <w:shd w:val="clear" w:color="auto" w:fill="FFFFFF"/>
            <w:noWrap/>
            <w:vAlign w:val="center"/>
          </w:tcPr>
          <w:p>
            <w:pPr>
              <w:widowControl/>
              <w:jc w:val="center"/>
              <w:rPr>
                <w:rFonts w:ascii="宋体" w:hAnsi="宋体" w:cs="宋体"/>
                <w:kern w:val="0"/>
                <w:sz w:val="20"/>
              </w:rPr>
            </w:pPr>
          </w:p>
        </w:tc>
        <w:tc>
          <w:tcPr>
            <w:tcW w:w="1053" w:type="dxa"/>
            <w:shd w:val="clear" w:color="auto" w:fill="FFFFFF"/>
            <w:noWrap/>
            <w:vAlign w:val="center"/>
          </w:tcPr>
          <w:p>
            <w:pPr>
              <w:widowControl/>
              <w:jc w:val="center"/>
              <w:rPr>
                <w:rFonts w:ascii="宋体" w:hAnsi="宋体" w:cs="宋体"/>
                <w:kern w:val="0"/>
                <w:sz w:val="20"/>
              </w:rPr>
            </w:pPr>
          </w:p>
        </w:tc>
        <w:tc>
          <w:tcPr>
            <w:tcW w:w="11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6" w:type="dxa"/>
            <w:shd w:val="clear" w:color="auto" w:fill="FFFFFF"/>
            <w:noWrap/>
            <w:vAlign w:val="center"/>
          </w:tcPr>
          <w:p>
            <w:pPr>
              <w:widowControl/>
              <w:jc w:val="left"/>
              <w:rPr>
                <w:rFonts w:ascii="宋体" w:hAnsi="宋体" w:cs="宋体"/>
                <w:kern w:val="0"/>
                <w:sz w:val="20"/>
              </w:rPr>
            </w:pPr>
          </w:p>
        </w:tc>
        <w:tc>
          <w:tcPr>
            <w:tcW w:w="1066" w:type="dxa"/>
            <w:shd w:val="clear" w:color="auto" w:fill="FFFFFF"/>
            <w:noWrap/>
            <w:vAlign w:val="center"/>
          </w:tcPr>
          <w:p>
            <w:pPr>
              <w:widowControl/>
              <w:jc w:val="center"/>
              <w:rPr>
                <w:rFonts w:ascii="宋体" w:hAnsi="宋体" w:cs="宋体"/>
                <w:kern w:val="0"/>
                <w:sz w:val="20"/>
              </w:rPr>
            </w:pPr>
          </w:p>
        </w:tc>
        <w:tc>
          <w:tcPr>
            <w:tcW w:w="20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（二十二）国有资本经营预算支出</w:t>
            </w:r>
          </w:p>
        </w:tc>
        <w:tc>
          <w:tcPr>
            <w:tcW w:w="1181" w:type="dxa"/>
            <w:shd w:val="clear" w:color="auto" w:fill="FFFFFF"/>
            <w:noWrap/>
            <w:vAlign w:val="center"/>
          </w:tcPr>
          <w:p>
            <w:pPr>
              <w:widowControl/>
              <w:jc w:val="center"/>
              <w:rPr>
                <w:rFonts w:ascii="宋体" w:hAnsi="宋体" w:cs="宋体"/>
                <w:kern w:val="0"/>
                <w:sz w:val="20"/>
              </w:rPr>
            </w:pPr>
          </w:p>
        </w:tc>
        <w:tc>
          <w:tcPr>
            <w:tcW w:w="1053" w:type="dxa"/>
            <w:shd w:val="clear" w:color="auto" w:fill="FFFFFF"/>
            <w:noWrap/>
            <w:vAlign w:val="center"/>
          </w:tcPr>
          <w:p>
            <w:pPr>
              <w:widowControl/>
              <w:jc w:val="center"/>
              <w:rPr>
                <w:rFonts w:ascii="宋体" w:hAnsi="宋体" w:cs="宋体"/>
                <w:kern w:val="0"/>
                <w:sz w:val="20"/>
              </w:rPr>
            </w:pPr>
          </w:p>
        </w:tc>
        <w:tc>
          <w:tcPr>
            <w:tcW w:w="11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6" w:type="dxa"/>
            <w:shd w:val="clear" w:color="auto" w:fill="FFFFFF"/>
            <w:noWrap/>
            <w:vAlign w:val="center"/>
          </w:tcPr>
          <w:p>
            <w:pPr>
              <w:widowControl/>
              <w:jc w:val="left"/>
              <w:rPr>
                <w:rFonts w:ascii="宋体" w:hAnsi="宋体" w:cs="宋体"/>
                <w:kern w:val="0"/>
                <w:sz w:val="20"/>
              </w:rPr>
            </w:pPr>
          </w:p>
        </w:tc>
        <w:tc>
          <w:tcPr>
            <w:tcW w:w="1066" w:type="dxa"/>
            <w:shd w:val="clear" w:color="auto" w:fill="FFFFFF"/>
            <w:noWrap/>
            <w:vAlign w:val="center"/>
          </w:tcPr>
          <w:p>
            <w:pPr>
              <w:widowControl/>
              <w:jc w:val="center"/>
              <w:rPr>
                <w:rFonts w:ascii="宋体" w:hAnsi="宋体" w:cs="宋体"/>
                <w:kern w:val="0"/>
                <w:sz w:val="20"/>
              </w:rPr>
            </w:pPr>
          </w:p>
        </w:tc>
        <w:tc>
          <w:tcPr>
            <w:tcW w:w="20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（二十三）灾害防治及应急管理支出</w:t>
            </w:r>
          </w:p>
        </w:tc>
        <w:tc>
          <w:tcPr>
            <w:tcW w:w="1181" w:type="dxa"/>
            <w:shd w:val="clear" w:color="auto" w:fill="FFFFFF"/>
            <w:noWrap/>
            <w:vAlign w:val="center"/>
          </w:tcPr>
          <w:p>
            <w:pPr>
              <w:widowControl/>
              <w:jc w:val="center"/>
              <w:rPr>
                <w:rFonts w:ascii="宋体" w:hAnsi="宋体" w:cs="宋体"/>
                <w:kern w:val="0"/>
                <w:sz w:val="20"/>
              </w:rPr>
            </w:pPr>
          </w:p>
        </w:tc>
        <w:tc>
          <w:tcPr>
            <w:tcW w:w="1053" w:type="dxa"/>
            <w:shd w:val="clear" w:color="auto" w:fill="FFFFFF"/>
            <w:noWrap/>
            <w:vAlign w:val="center"/>
          </w:tcPr>
          <w:p>
            <w:pPr>
              <w:widowControl/>
              <w:jc w:val="center"/>
              <w:rPr>
                <w:rFonts w:ascii="宋体" w:hAnsi="宋体" w:cs="宋体"/>
                <w:kern w:val="0"/>
                <w:sz w:val="20"/>
              </w:rPr>
            </w:pPr>
          </w:p>
        </w:tc>
        <w:tc>
          <w:tcPr>
            <w:tcW w:w="11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6" w:type="dxa"/>
            <w:shd w:val="clear" w:color="auto" w:fill="FFFFFF"/>
            <w:noWrap/>
            <w:vAlign w:val="center"/>
          </w:tcPr>
          <w:p>
            <w:pPr>
              <w:widowControl/>
              <w:jc w:val="left"/>
              <w:rPr>
                <w:rFonts w:ascii="宋体" w:hAnsi="宋体" w:cs="宋体"/>
                <w:kern w:val="0"/>
                <w:sz w:val="20"/>
              </w:rPr>
            </w:pPr>
          </w:p>
        </w:tc>
        <w:tc>
          <w:tcPr>
            <w:tcW w:w="1066" w:type="dxa"/>
            <w:shd w:val="clear" w:color="auto" w:fill="FFFFFF"/>
            <w:noWrap/>
            <w:vAlign w:val="center"/>
          </w:tcPr>
          <w:p>
            <w:pPr>
              <w:widowControl/>
              <w:jc w:val="center"/>
              <w:rPr>
                <w:rFonts w:ascii="宋体" w:hAnsi="宋体" w:cs="宋体"/>
                <w:kern w:val="0"/>
                <w:sz w:val="20"/>
              </w:rPr>
            </w:pPr>
          </w:p>
        </w:tc>
        <w:tc>
          <w:tcPr>
            <w:tcW w:w="20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（二十四）预备费</w:t>
            </w:r>
          </w:p>
        </w:tc>
        <w:tc>
          <w:tcPr>
            <w:tcW w:w="1181" w:type="dxa"/>
            <w:shd w:val="clear" w:color="auto" w:fill="FFFFFF"/>
            <w:noWrap/>
            <w:vAlign w:val="center"/>
          </w:tcPr>
          <w:p>
            <w:pPr>
              <w:widowControl/>
              <w:jc w:val="center"/>
              <w:rPr>
                <w:rFonts w:ascii="宋体" w:hAnsi="宋体" w:cs="宋体"/>
                <w:kern w:val="0"/>
                <w:sz w:val="20"/>
              </w:rPr>
            </w:pPr>
          </w:p>
        </w:tc>
        <w:tc>
          <w:tcPr>
            <w:tcW w:w="1053" w:type="dxa"/>
            <w:shd w:val="clear" w:color="auto" w:fill="FFFFFF"/>
            <w:noWrap/>
            <w:vAlign w:val="center"/>
          </w:tcPr>
          <w:p>
            <w:pPr>
              <w:widowControl/>
              <w:jc w:val="center"/>
              <w:rPr>
                <w:rFonts w:ascii="宋体" w:hAnsi="宋体" w:cs="宋体"/>
                <w:kern w:val="0"/>
                <w:sz w:val="20"/>
              </w:rPr>
            </w:pPr>
          </w:p>
        </w:tc>
        <w:tc>
          <w:tcPr>
            <w:tcW w:w="11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6" w:type="dxa"/>
            <w:shd w:val="clear" w:color="auto" w:fill="FFFFFF"/>
            <w:noWrap/>
            <w:vAlign w:val="center"/>
          </w:tcPr>
          <w:p>
            <w:pPr>
              <w:widowControl/>
              <w:jc w:val="left"/>
              <w:rPr>
                <w:rFonts w:ascii="宋体" w:hAnsi="宋体" w:cs="宋体"/>
                <w:kern w:val="0"/>
                <w:sz w:val="20"/>
              </w:rPr>
            </w:pPr>
          </w:p>
        </w:tc>
        <w:tc>
          <w:tcPr>
            <w:tcW w:w="1066" w:type="dxa"/>
            <w:shd w:val="clear" w:color="auto" w:fill="FFFFFF"/>
            <w:noWrap/>
            <w:vAlign w:val="center"/>
          </w:tcPr>
          <w:p>
            <w:pPr>
              <w:widowControl/>
              <w:jc w:val="center"/>
              <w:rPr>
                <w:rFonts w:ascii="宋体" w:hAnsi="宋体" w:cs="宋体"/>
                <w:kern w:val="0"/>
                <w:sz w:val="20"/>
              </w:rPr>
            </w:pPr>
          </w:p>
        </w:tc>
        <w:tc>
          <w:tcPr>
            <w:tcW w:w="20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（二十五）其他支出</w:t>
            </w:r>
          </w:p>
        </w:tc>
        <w:tc>
          <w:tcPr>
            <w:tcW w:w="1181" w:type="dxa"/>
            <w:shd w:val="clear" w:color="auto" w:fill="FFFFFF"/>
            <w:noWrap/>
            <w:vAlign w:val="center"/>
          </w:tcPr>
          <w:p>
            <w:pPr>
              <w:widowControl/>
              <w:jc w:val="center"/>
              <w:rPr>
                <w:rFonts w:ascii="宋体" w:hAnsi="宋体" w:cs="宋体"/>
                <w:kern w:val="0"/>
                <w:sz w:val="20"/>
              </w:rPr>
            </w:pPr>
          </w:p>
        </w:tc>
        <w:tc>
          <w:tcPr>
            <w:tcW w:w="1053" w:type="dxa"/>
            <w:shd w:val="clear" w:color="auto" w:fill="FFFFFF"/>
            <w:noWrap/>
            <w:vAlign w:val="center"/>
          </w:tcPr>
          <w:p>
            <w:pPr>
              <w:widowControl/>
              <w:jc w:val="center"/>
              <w:rPr>
                <w:rFonts w:ascii="宋体" w:hAnsi="宋体" w:cs="宋体"/>
                <w:kern w:val="0"/>
                <w:sz w:val="20"/>
              </w:rPr>
            </w:pPr>
          </w:p>
        </w:tc>
        <w:tc>
          <w:tcPr>
            <w:tcW w:w="11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6" w:type="dxa"/>
            <w:shd w:val="clear" w:color="auto" w:fill="FFFFFF"/>
            <w:noWrap/>
            <w:vAlign w:val="center"/>
          </w:tcPr>
          <w:p>
            <w:pPr>
              <w:widowControl/>
              <w:jc w:val="left"/>
              <w:rPr>
                <w:rFonts w:ascii="宋体" w:hAnsi="宋体" w:cs="宋体"/>
                <w:kern w:val="0"/>
                <w:sz w:val="20"/>
              </w:rPr>
            </w:pPr>
          </w:p>
        </w:tc>
        <w:tc>
          <w:tcPr>
            <w:tcW w:w="1066" w:type="dxa"/>
            <w:shd w:val="clear" w:color="auto" w:fill="FFFFFF"/>
            <w:noWrap/>
            <w:vAlign w:val="center"/>
          </w:tcPr>
          <w:p>
            <w:pPr>
              <w:widowControl/>
              <w:jc w:val="center"/>
              <w:rPr>
                <w:rFonts w:ascii="宋体" w:hAnsi="宋体" w:cs="宋体"/>
                <w:kern w:val="0"/>
                <w:sz w:val="20"/>
              </w:rPr>
            </w:pPr>
          </w:p>
        </w:tc>
        <w:tc>
          <w:tcPr>
            <w:tcW w:w="20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（二十六）转移性支出</w:t>
            </w:r>
          </w:p>
        </w:tc>
        <w:tc>
          <w:tcPr>
            <w:tcW w:w="1181" w:type="dxa"/>
            <w:shd w:val="clear" w:color="auto" w:fill="FFFFFF"/>
            <w:noWrap/>
            <w:vAlign w:val="center"/>
          </w:tcPr>
          <w:p>
            <w:pPr>
              <w:widowControl/>
              <w:jc w:val="center"/>
              <w:rPr>
                <w:rFonts w:ascii="宋体" w:hAnsi="宋体" w:cs="宋体"/>
                <w:kern w:val="0"/>
                <w:sz w:val="20"/>
              </w:rPr>
            </w:pPr>
          </w:p>
        </w:tc>
        <w:tc>
          <w:tcPr>
            <w:tcW w:w="1053" w:type="dxa"/>
            <w:shd w:val="clear" w:color="auto" w:fill="FFFFFF"/>
            <w:noWrap/>
            <w:vAlign w:val="center"/>
          </w:tcPr>
          <w:p>
            <w:pPr>
              <w:widowControl/>
              <w:jc w:val="center"/>
              <w:rPr>
                <w:rFonts w:ascii="宋体" w:hAnsi="宋体" w:cs="宋体"/>
                <w:kern w:val="0"/>
                <w:sz w:val="20"/>
              </w:rPr>
            </w:pPr>
          </w:p>
        </w:tc>
        <w:tc>
          <w:tcPr>
            <w:tcW w:w="11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6" w:type="dxa"/>
            <w:shd w:val="clear" w:color="auto" w:fill="FFFFFF"/>
            <w:noWrap/>
            <w:vAlign w:val="center"/>
          </w:tcPr>
          <w:p>
            <w:pPr>
              <w:widowControl/>
              <w:jc w:val="left"/>
              <w:rPr>
                <w:rFonts w:ascii="宋体" w:hAnsi="宋体" w:cs="宋体"/>
                <w:kern w:val="0"/>
                <w:sz w:val="20"/>
              </w:rPr>
            </w:pPr>
          </w:p>
        </w:tc>
        <w:tc>
          <w:tcPr>
            <w:tcW w:w="1066" w:type="dxa"/>
            <w:shd w:val="clear" w:color="auto" w:fill="FFFFFF"/>
            <w:noWrap/>
            <w:vAlign w:val="center"/>
          </w:tcPr>
          <w:p>
            <w:pPr>
              <w:widowControl/>
              <w:jc w:val="center"/>
              <w:rPr>
                <w:rFonts w:ascii="宋体" w:hAnsi="宋体" w:cs="宋体"/>
                <w:kern w:val="0"/>
                <w:sz w:val="20"/>
              </w:rPr>
            </w:pPr>
          </w:p>
        </w:tc>
        <w:tc>
          <w:tcPr>
            <w:tcW w:w="20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（二十七）债务还本支出</w:t>
            </w:r>
          </w:p>
        </w:tc>
        <w:tc>
          <w:tcPr>
            <w:tcW w:w="1181" w:type="dxa"/>
            <w:shd w:val="clear" w:color="auto" w:fill="FFFFFF"/>
            <w:noWrap/>
            <w:vAlign w:val="center"/>
          </w:tcPr>
          <w:p>
            <w:pPr>
              <w:widowControl/>
              <w:jc w:val="center"/>
              <w:rPr>
                <w:rFonts w:ascii="宋体" w:hAnsi="宋体" w:cs="宋体"/>
                <w:kern w:val="0"/>
                <w:sz w:val="20"/>
              </w:rPr>
            </w:pPr>
          </w:p>
        </w:tc>
        <w:tc>
          <w:tcPr>
            <w:tcW w:w="1053" w:type="dxa"/>
            <w:shd w:val="clear" w:color="auto" w:fill="FFFFFF"/>
            <w:noWrap/>
            <w:vAlign w:val="center"/>
          </w:tcPr>
          <w:p>
            <w:pPr>
              <w:widowControl/>
              <w:jc w:val="center"/>
              <w:rPr>
                <w:rFonts w:ascii="宋体" w:hAnsi="宋体" w:cs="宋体"/>
                <w:kern w:val="0"/>
                <w:sz w:val="20"/>
              </w:rPr>
            </w:pPr>
          </w:p>
        </w:tc>
        <w:tc>
          <w:tcPr>
            <w:tcW w:w="11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6" w:type="dxa"/>
            <w:shd w:val="clear" w:color="auto" w:fill="FFFFFF"/>
            <w:noWrap/>
            <w:vAlign w:val="center"/>
          </w:tcPr>
          <w:p>
            <w:pPr>
              <w:widowControl/>
              <w:jc w:val="left"/>
              <w:rPr>
                <w:rFonts w:ascii="宋体" w:hAnsi="宋体" w:cs="宋体"/>
                <w:kern w:val="0"/>
                <w:sz w:val="20"/>
              </w:rPr>
            </w:pPr>
          </w:p>
        </w:tc>
        <w:tc>
          <w:tcPr>
            <w:tcW w:w="1066" w:type="dxa"/>
            <w:shd w:val="clear" w:color="auto" w:fill="FFFFFF"/>
            <w:noWrap/>
            <w:vAlign w:val="center"/>
          </w:tcPr>
          <w:p>
            <w:pPr>
              <w:widowControl/>
              <w:jc w:val="center"/>
              <w:rPr>
                <w:rFonts w:ascii="宋体" w:hAnsi="宋体" w:cs="宋体"/>
                <w:kern w:val="0"/>
                <w:sz w:val="20"/>
              </w:rPr>
            </w:pPr>
          </w:p>
        </w:tc>
        <w:tc>
          <w:tcPr>
            <w:tcW w:w="20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（二十八）债务付息支出</w:t>
            </w:r>
          </w:p>
        </w:tc>
        <w:tc>
          <w:tcPr>
            <w:tcW w:w="1181" w:type="dxa"/>
            <w:shd w:val="clear" w:color="auto" w:fill="FFFFFF"/>
            <w:noWrap/>
            <w:vAlign w:val="center"/>
          </w:tcPr>
          <w:p>
            <w:pPr>
              <w:widowControl/>
              <w:jc w:val="center"/>
              <w:rPr>
                <w:rFonts w:ascii="宋体" w:hAnsi="宋体" w:cs="宋体"/>
                <w:kern w:val="0"/>
                <w:sz w:val="20"/>
              </w:rPr>
            </w:pPr>
          </w:p>
        </w:tc>
        <w:tc>
          <w:tcPr>
            <w:tcW w:w="1053" w:type="dxa"/>
            <w:shd w:val="clear" w:color="auto" w:fill="FFFFFF"/>
            <w:noWrap/>
            <w:vAlign w:val="center"/>
          </w:tcPr>
          <w:p>
            <w:pPr>
              <w:widowControl/>
              <w:jc w:val="center"/>
              <w:rPr>
                <w:rFonts w:ascii="宋体" w:hAnsi="宋体" w:cs="宋体"/>
                <w:kern w:val="0"/>
                <w:sz w:val="20"/>
              </w:rPr>
            </w:pPr>
          </w:p>
        </w:tc>
        <w:tc>
          <w:tcPr>
            <w:tcW w:w="11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6" w:type="dxa"/>
            <w:shd w:val="clear" w:color="auto" w:fill="FFFFFF"/>
            <w:noWrap/>
            <w:vAlign w:val="center"/>
          </w:tcPr>
          <w:p>
            <w:pPr>
              <w:widowControl/>
              <w:jc w:val="left"/>
              <w:rPr>
                <w:rFonts w:ascii="宋体" w:hAnsi="宋体" w:cs="宋体"/>
                <w:kern w:val="0"/>
                <w:sz w:val="20"/>
              </w:rPr>
            </w:pPr>
          </w:p>
        </w:tc>
        <w:tc>
          <w:tcPr>
            <w:tcW w:w="1066" w:type="dxa"/>
            <w:shd w:val="clear" w:color="auto" w:fill="FFFFFF"/>
            <w:noWrap/>
            <w:vAlign w:val="center"/>
          </w:tcPr>
          <w:p>
            <w:pPr>
              <w:widowControl/>
              <w:jc w:val="center"/>
              <w:rPr>
                <w:rFonts w:ascii="宋体" w:hAnsi="宋体" w:cs="宋体"/>
                <w:kern w:val="0"/>
                <w:sz w:val="20"/>
              </w:rPr>
            </w:pPr>
          </w:p>
        </w:tc>
        <w:tc>
          <w:tcPr>
            <w:tcW w:w="20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（二十九）债务发行费用支出</w:t>
            </w:r>
          </w:p>
        </w:tc>
        <w:tc>
          <w:tcPr>
            <w:tcW w:w="1181" w:type="dxa"/>
            <w:shd w:val="clear" w:color="auto" w:fill="FFFFFF"/>
            <w:noWrap/>
            <w:vAlign w:val="center"/>
          </w:tcPr>
          <w:p>
            <w:pPr>
              <w:widowControl/>
              <w:jc w:val="center"/>
              <w:rPr>
                <w:rFonts w:ascii="宋体" w:hAnsi="宋体" w:cs="宋体"/>
                <w:kern w:val="0"/>
                <w:sz w:val="20"/>
              </w:rPr>
            </w:pPr>
          </w:p>
        </w:tc>
        <w:tc>
          <w:tcPr>
            <w:tcW w:w="1053" w:type="dxa"/>
            <w:shd w:val="clear" w:color="auto" w:fill="FFFFFF"/>
            <w:noWrap/>
            <w:vAlign w:val="center"/>
          </w:tcPr>
          <w:p>
            <w:pPr>
              <w:widowControl/>
              <w:jc w:val="center"/>
              <w:rPr>
                <w:rFonts w:ascii="宋体" w:hAnsi="宋体" w:cs="宋体"/>
                <w:kern w:val="0"/>
                <w:sz w:val="20"/>
              </w:rPr>
            </w:pPr>
          </w:p>
        </w:tc>
        <w:tc>
          <w:tcPr>
            <w:tcW w:w="11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6" w:type="dxa"/>
            <w:shd w:val="clear" w:color="auto" w:fill="FFFFFF"/>
            <w:noWrap/>
            <w:vAlign w:val="center"/>
          </w:tcPr>
          <w:p>
            <w:pPr>
              <w:widowControl/>
              <w:jc w:val="left"/>
              <w:rPr>
                <w:rFonts w:ascii="宋体" w:hAnsi="宋体" w:cs="宋体"/>
                <w:kern w:val="0"/>
                <w:sz w:val="20"/>
              </w:rPr>
            </w:pPr>
          </w:p>
        </w:tc>
        <w:tc>
          <w:tcPr>
            <w:tcW w:w="1066" w:type="dxa"/>
            <w:shd w:val="clear" w:color="auto" w:fill="FFFFFF"/>
            <w:noWrap/>
            <w:vAlign w:val="center"/>
          </w:tcPr>
          <w:p>
            <w:pPr>
              <w:widowControl/>
              <w:jc w:val="center"/>
              <w:rPr>
                <w:rFonts w:ascii="宋体" w:hAnsi="宋体" w:cs="宋体"/>
                <w:kern w:val="0"/>
                <w:sz w:val="20"/>
              </w:rPr>
            </w:pPr>
          </w:p>
        </w:tc>
        <w:tc>
          <w:tcPr>
            <w:tcW w:w="20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（三十）抗疫特别国债安排的支出</w:t>
            </w:r>
          </w:p>
        </w:tc>
        <w:tc>
          <w:tcPr>
            <w:tcW w:w="1181" w:type="dxa"/>
            <w:shd w:val="clear" w:color="auto" w:fill="FFFFFF"/>
            <w:noWrap/>
            <w:vAlign w:val="center"/>
          </w:tcPr>
          <w:p>
            <w:pPr>
              <w:widowControl/>
              <w:jc w:val="center"/>
              <w:rPr>
                <w:rFonts w:ascii="宋体" w:hAnsi="宋体" w:cs="宋体"/>
                <w:kern w:val="0"/>
                <w:sz w:val="20"/>
              </w:rPr>
            </w:pPr>
          </w:p>
        </w:tc>
        <w:tc>
          <w:tcPr>
            <w:tcW w:w="1053" w:type="dxa"/>
            <w:shd w:val="clear" w:color="auto" w:fill="FFFFFF"/>
            <w:noWrap/>
            <w:vAlign w:val="center"/>
          </w:tcPr>
          <w:p>
            <w:pPr>
              <w:widowControl/>
              <w:jc w:val="center"/>
              <w:rPr>
                <w:rFonts w:ascii="宋体" w:hAnsi="宋体" w:cs="宋体"/>
                <w:kern w:val="0"/>
                <w:sz w:val="20"/>
              </w:rPr>
            </w:pPr>
          </w:p>
        </w:tc>
        <w:tc>
          <w:tcPr>
            <w:tcW w:w="11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6" w:type="dxa"/>
            <w:shd w:val="clear" w:color="auto" w:fill="FFFFFF"/>
            <w:noWrap/>
            <w:vAlign w:val="center"/>
          </w:tcPr>
          <w:p>
            <w:pPr>
              <w:widowControl/>
              <w:jc w:val="left"/>
              <w:rPr>
                <w:rFonts w:ascii="宋体" w:hAnsi="宋体" w:cs="宋体"/>
                <w:kern w:val="0"/>
                <w:sz w:val="20"/>
              </w:rPr>
            </w:pPr>
          </w:p>
        </w:tc>
        <w:tc>
          <w:tcPr>
            <w:tcW w:w="1066" w:type="dxa"/>
            <w:shd w:val="clear" w:color="auto" w:fill="FFFFFF"/>
            <w:noWrap/>
            <w:vAlign w:val="center"/>
          </w:tcPr>
          <w:p>
            <w:pPr>
              <w:widowControl/>
              <w:jc w:val="center"/>
              <w:rPr>
                <w:rFonts w:ascii="宋体" w:hAnsi="宋体" w:cs="宋体"/>
                <w:kern w:val="0"/>
                <w:sz w:val="20"/>
              </w:rPr>
            </w:pPr>
          </w:p>
        </w:tc>
        <w:tc>
          <w:tcPr>
            <w:tcW w:w="20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（三十一）往来性支出</w:t>
            </w:r>
          </w:p>
        </w:tc>
        <w:tc>
          <w:tcPr>
            <w:tcW w:w="1181" w:type="dxa"/>
            <w:shd w:val="clear" w:color="auto" w:fill="FFFFFF"/>
            <w:noWrap/>
            <w:vAlign w:val="center"/>
          </w:tcPr>
          <w:p>
            <w:pPr>
              <w:widowControl/>
              <w:jc w:val="center"/>
              <w:rPr>
                <w:rFonts w:ascii="宋体" w:hAnsi="宋体" w:cs="宋体"/>
                <w:kern w:val="0"/>
                <w:sz w:val="20"/>
              </w:rPr>
            </w:pPr>
          </w:p>
        </w:tc>
        <w:tc>
          <w:tcPr>
            <w:tcW w:w="1053" w:type="dxa"/>
            <w:shd w:val="clear" w:color="auto" w:fill="FFFFFF"/>
            <w:noWrap/>
            <w:vAlign w:val="center"/>
          </w:tcPr>
          <w:p>
            <w:pPr>
              <w:widowControl/>
              <w:jc w:val="center"/>
              <w:rPr>
                <w:rFonts w:ascii="宋体" w:hAnsi="宋体" w:cs="宋体"/>
                <w:kern w:val="0"/>
                <w:sz w:val="20"/>
              </w:rPr>
            </w:pPr>
          </w:p>
        </w:tc>
        <w:tc>
          <w:tcPr>
            <w:tcW w:w="11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二、上年结转</w:t>
            </w:r>
          </w:p>
        </w:tc>
        <w:tc>
          <w:tcPr>
            <w:tcW w:w="1066" w:type="dxa"/>
            <w:shd w:val="clear" w:color="auto" w:fill="FFFFFF"/>
            <w:noWrap/>
            <w:vAlign w:val="center"/>
          </w:tcPr>
          <w:p>
            <w:pPr>
              <w:widowControl/>
              <w:jc w:val="center"/>
              <w:rPr>
                <w:rFonts w:ascii="宋体" w:hAnsi="宋体" w:cs="宋体"/>
                <w:kern w:val="0"/>
                <w:sz w:val="20"/>
              </w:rPr>
            </w:pPr>
          </w:p>
        </w:tc>
        <w:tc>
          <w:tcPr>
            <w:tcW w:w="20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二、结转下年</w:t>
            </w:r>
          </w:p>
        </w:tc>
        <w:tc>
          <w:tcPr>
            <w:tcW w:w="1181" w:type="dxa"/>
            <w:shd w:val="clear" w:color="auto" w:fill="FFFFFF"/>
            <w:noWrap/>
            <w:vAlign w:val="center"/>
          </w:tcPr>
          <w:p>
            <w:pPr>
              <w:widowControl/>
              <w:jc w:val="center"/>
              <w:rPr>
                <w:rFonts w:ascii="宋体" w:hAnsi="宋体" w:cs="宋体"/>
                <w:kern w:val="0"/>
                <w:sz w:val="20"/>
              </w:rPr>
            </w:pPr>
          </w:p>
        </w:tc>
        <w:tc>
          <w:tcPr>
            <w:tcW w:w="1053" w:type="dxa"/>
            <w:shd w:val="clear" w:color="auto" w:fill="FFFFFF"/>
            <w:noWrap/>
            <w:vAlign w:val="center"/>
          </w:tcPr>
          <w:p>
            <w:pPr>
              <w:widowControl/>
              <w:jc w:val="center"/>
              <w:rPr>
                <w:rFonts w:ascii="宋体" w:hAnsi="宋体" w:cs="宋体"/>
                <w:kern w:val="0"/>
                <w:sz w:val="20"/>
              </w:rPr>
            </w:pPr>
          </w:p>
        </w:tc>
        <w:tc>
          <w:tcPr>
            <w:tcW w:w="11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（一）一般公共预算拨款</w:t>
            </w:r>
          </w:p>
        </w:tc>
        <w:tc>
          <w:tcPr>
            <w:tcW w:w="1066" w:type="dxa"/>
            <w:shd w:val="clear" w:color="auto" w:fill="FFFFFF"/>
            <w:noWrap/>
            <w:vAlign w:val="center"/>
          </w:tcPr>
          <w:p>
            <w:pPr>
              <w:widowControl/>
              <w:jc w:val="center"/>
              <w:rPr>
                <w:rFonts w:ascii="宋体" w:hAnsi="宋体" w:cs="宋体"/>
                <w:kern w:val="0"/>
                <w:sz w:val="20"/>
              </w:rPr>
            </w:pPr>
          </w:p>
        </w:tc>
        <w:tc>
          <w:tcPr>
            <w:tcW w:w="2025" w:type="dxa"/>
            <w:shd w:val="clear" w:color="auto" w:fill="FFFFFF"/>
            <w:noWrap/>
            <w:vAlign w:val="center"/>
          </w:tcPr>
          <w:p>
            <w:pPr>
              <w:widowControl/>
              <w:jc w:val="left"/>
              <w:rPr>
                <w:rFonts w:ascii="宋体" w:hAnsi="宋体" w:cs="宋体"/>
                <w:kern w:val="0"/>
                <w:sz w:val="20"/>
              </w:rPr>
            </w:pPr>
          </w:p>
        </w:tc>
        <w:tc>
          <w:tcPr>
            <w:tcW w:w="1181" w:type="dxa"/>
            <w:shd w:val="clear" w:color="auto" w:fill="FFFFFF"/>
            <w:noWrap/>
            <w:vAlign w:val="center"/>
          </w:tcPr>
          <w:p>
            <w:pPr>
              <w:widowControl/>
              <w:jc w:val="center"/>
              <w:rPr>
                <w:rFonts w:ascii="宋体" w:hAnsi="宋体" w:cs="宋体"/>
                <w:kern w:val="0"/>
                <w:sz w:val="20"/>
              </w:rPr>
            </w:pPr>
          </w:p>
        </w:tc>
        <w:tc>
          <w:tcPr>
            <w:tcW w:w="1053" w:type="dxa"/>
            <w:shd w:val="clear" w:color="auto" w:fill="FFFFFF"/>
            <w:noWrap/>
            <w:vAlign w:val="center"/>
          </w:tcPr>
          <w:p>
            <w:pPr>
              <w:widowControl/>
              <w:jc w:val="center"/>
              <w:rPr>
                <w:rFonts w:ascii="宋体" w:hAnsi="宋体" w:cs="宋体"/>
                <w:kern w:val="0"/>
                <w:sz w:val="20"/>
              </w:rPr>
            </w:pPr>
          </w:p>
        </w:tc>
        <w:tc>
          <w:tcPr>
            <w:tcW w:w="11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（二）政府性基金预算拨款</w:t>
            </w:r>
          </w:p>
        </w:tc>
        <w:tc>
          <w:tcPr>
            <w:tcW w:w="1066" w:type="dxa"/>
            <w:shd w:val="clear" w:color="auto" w:fill="FFFFFF"/>
            <w:noWrap/>
            <w:vAlign w:val="center"/>
          </w:tcPr>
          <w:p>
            <w:pPr>
              <w:widowControl/>
              <w:jc w:val="center"/>
              <w:rPr>
                <w:rFonts w:ascii="宋体" w:hAnsi="宋体" w:cs="宋体"/>
                <w:kern w:val="0"/>
                <w:sz w:val="20"/>
              </w:rPr>
            </w:pPr>
          </w:p>
        </w:tc>
        <w:tc>
          <w:tcPr>
            <w:tcW w:w="2025" w:type="dxa"/>
            <w:shd w:val="clear" w:color="auto" w:fill="FFFFFF"/>
            <w:noWrap/>
            <w:vAlign w:val="center"/>
          </w:tcPr>
          <w:p>
            <w:pPr>
              <w:widowControl/>
              <w:jc w:val="left"/>
              <w:rPr>
                <w:rFonts w:ascii="宋体" w:hAnsi="宋体" w:cs="宋体"/>
                <w:kern w:val="0"/>
                <w:sz w:val="20"/>
              </w:rPr>
            </w:pPr>
          </w:p>
        </w:tc>
        <w:tc>
          <w:tcPr>
            <w:tcW w:w="1181" w:type="dxa"/>
            <w:shd w:val="clear" w:color="auto" w:fill="FFFFFF"/>
            <w:noWrap/>
            <w:vAlign w:val="center"/>
          </w:tcPr>
          <w:p>
            <w:pPr>
              <w:widowControl/>
              <w:jc w:val="center"/>
              <w:rPr>
                <w:rFonts w:ascii="宋体" w:hAnsi="宋体" w:cs="宋体"/>
                <w:kern w:val="0"/>
                <w:sz w:val="20"/>
              </w:rPr>
            </w:pPr>
          </w:p>
        </w:tc>
        <w:tc>
          <w:tcPr>
            <w:tcW w:w="1053" w:type="dxa"/>
            <w:shd w:val="clear" w:color="auto" w:fill="FFFFFF"/>
            <w:noWrap/>
            <w:vAlign w:val="center"/>
          </w:tcPr>
          <w:p>
            <w:pPr>
              <w:widowControl/>
              <w:jc w:val="center"/>
              <w:rPr>
                <w:rFonts w:ascii="宋体" w:hAnsi="宋体" w:cs="宋体"/>
                <w:kern w:val="0"/>
                <w:sz w:val="20"/>
              </w:rPr>
            </w:pPr>
          </w:p>
        </w:tc>
        <w:tc>
          <w:tcPr>
            <w:tcW w:w="118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收入总计</w:t>
            </w:r>
          </w:p>
        </w:tc>
        <w:tc>
          <w:tcPr>
            <w:tcW w:w="1066"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445.85</w:t>
            </w:r>
          </w:p>
        </w:tc>
        <w:tc>
          <w:tcPr>
            <w:tcW w:w="20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支出总计</w:t>
            </w:r>
          </w:p>
        </w:tc>
        <w:tc>
          <w:tcPr>
            <w:tcW w:w="1181"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445.85</w:t>
            </w:r>
          </w:p>
        </w:tc>
        <w:tc>
          <w:tcPr>
            <w:tcW w:w="1053"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445.85</w:t>
            </w:r>
          </w:p>
        </w:tc>
        <w:tc>
          <w:tcPr>
            <w:tcW w:w="1187" w:type="dxa"/>
            <w:shd w:val="clear" w:color="auto" w:fill="FFFFFF"/>
            <w:noWrap/>
            <w:vAlign w:val="center"/>
          </w:tcPr>
          <w:p>
            <w:pPr>
              <w:widowControl/>
              <w:jc w:val="center"/>
              <w:rPr>
                <w:rFonts w:ascii="宋体" w:hAnsi="宋体" w:cs="宋体"/>
                <w:kern w:val="0"/>
                <w:sz w:val="20"/>
              </w:rPr>
            </w:pPr>
          </w:p>
        </w:tc>
      </w:tr>
    </w:tbl>
    <w:p>
      <w:r>
        <w:br w:type="page"/>
      </w:r>
    </w:p>
    <w:tbl>
      <w:tblPr>
        <w:tblStyle w:val="5"/>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598"/>
        <w:gridCol w:w="1454"/>
        <w:gridCol w:w="1454"/>
        <w:gridCol w:w="1454"/>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部门公开表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5847"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362"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2023年预算数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59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45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45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45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598"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kern w:val="0"/>
                <w:sz w:val="22"/>
                <w:szCs w:val="22"/>
              </w:rPr>
            </w:pPr>
          </w:p>
        </w:tc>
        <w:tc>
          <w:tcPr>
            <w:tcW w:w="145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kern w:val="0"/>
                <w:sz w:val="22"/>
                <w:szCs w:val="22"/>
              </w:rPr>
            </w:pPr>
          </w:p>
        </w:tc>
        <w:tc>
          <w:tcPr>
            <w:tcW w:w="145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kern w:val="0"/>
                <w:sz w:val="22"/>
                <w:szCs w:val="22"/>
              </w:rPr>
            </w:pPr>
          </w:p>
        </w:tc>
        <w:tc>
          <w:tcPr>
            <w:tcW w:w="145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5847"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445.85</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433.85</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12.00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205</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9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教育支出　</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312.71</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300.71</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12.00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08</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9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进修和培训　</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312.71</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300.71</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12.00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02</w:t>
            </w:r>
          </w:p>
        </w:tc>
        <w:tc>
          <w:tcPr>
            <w:tcW w:w="359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干部教育　</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312.71</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300.71</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12.00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9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社会保障和就业支出　</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70.16</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70.16</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9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行政事业单位养老支出　</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68.95</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68.95</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05</w:t>
            </w:r>
          </w:p>
        </w:tc>
        <w:tc>
          <w:tcPr>
            <w:tcW w:w="359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机关事业单位基本养老保险缴费支出　</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31.80</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31.80</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06</w:t>
            </w:r>
          </w:p>
        </w:tc>
        <w:tc>
          <w:tcPr>
            <w:tcW w:w="359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机关事业单位职业年金缴费支出　</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15.90</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15.90</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99</w:t>
            </w:r>
          </w:p>
        </w:tc>
        <w:tc>
          <w:tcPr>
            <w:tcW w:w="359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其他行政事业单位养老支出　</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21.24</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21.24</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9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其他社会保障和就业支出　</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1.21</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1.21</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99</w:t>
            </w:r>
          </w:p>
        </w:tc>
        <w:tc>
          <w:tcPr>
            <w:tcW w:w="359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其他社会保障和就业支出　</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1.21</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1.21</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9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卫生健康支出　</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33.70</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33.70</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9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行政事业单位医疗　</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33.70</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33.70</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01</w:t>
            </w:r>
          </w:p>
        </w:tc>
        <w:tc>
          <w:tcPr>
            <w:tcW w:w="359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行政单位医疗　</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7.82</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7.82</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02</w:t>
            </w:r>
          </w:p>
        </w:tc>
        <w:tc>
          <w:tcPr>
            <w:tcW w:w="359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事业单位医疗　</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10.83</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10.83</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03</w:t>
            </w:r>
          </w:p>
        </w:tc>
        <w:tc>
          <w:tcPr>
            <w:tcW w:w="359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公务员医疗补助　</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15.05</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15.05</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9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住房保障支出　</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29.28</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29.28</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9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住房改革支出　</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29.28</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29.28</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01</w:t>
            </w:r>
          </w:p>
        </w:tc>
        <w:tc>
          <w:tcPr>
            <w:tcW w:w="359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住房公积金　</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29.28</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29.28</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rPr>
          <w:rFonts w:ascii="仿宋_GB2312" w:eastAsia="仿宋_GB2312"/>
          <w:sz w:val="32"/>
          <w:szCs w:val="32"/>
        </w:rPr>
      </w:pPr>
      <w:r>
        <w:rPr>
          <w:rFonts w:hint="eastAsia" w:ascii="仿宋_GB2312" w:eastAsia="仿宋_GB2312"/>
          <w:sz w:val="32"/>
          <w:szCs w:val="32"/>
        </w:rPr>
        <w:br w:type="page"/>
      </w:r>
    </w:p>
    <w:tbl>
      <w:tblPr>
        <w:tblStyle w:val="5"/>
        <w:tblW w:w="11245" w:type="dxa"/>
        <w:jc w:val="center"/>
        <w:tblLayout w:type="fixed"/>
        <w:tblCellMar>
          <w:top w:w="0" w:type="dxa"/>
          <w:left w:w="108" w:type="dxa"/>
          <w:bottom w:w="0" w:type="dxa"/>
          <w:right w:w="108" w:type="dxa"/>
        </w:tblCellMar>
      </w:tblPr>
      <w:tblGrid>
        <w:gridCol w:w="650"/>
        <w:gridCol w:w="650"/>
        <w:gridCol w:w="3415"/>
        <w:gridCol w:w="2176"/>
        <w:gridCol w:w="2176"/>
        <w:gridCol w:w="2178"/>
      </w:tblGrid>
      <w:tr>
        <w:tblPrEx>
          <w:tblCellMar>
            <w:top w:w="0" w:type="dxa"/>
            <w:left w:w="108" w:type="dxa"/>
            <w:bottom w:w="0" w:type="dxa"/>
            <w:right w:w="108" w:type="dxa"/>
          </w:tblCellMar>
        </w:tblPrEx>
        <w:trPr>
          <w:trHeight w:val="264" w:hRule="atLeast"/>
          <w:jc w:val="center"/>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部门公开表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jc w:val="center"/>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715"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6530"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2023年基本支出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341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17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17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17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341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kern w:val="0"/>
                <w:sz w:val="22"/>
                <w:szCs w:val="22"/>
              </w:rPr>
            </w:pPr>
          </w:p>
        </w:tc>
        <w:tc>
          <w:tcPr>
            <w:tcW w:w="2176"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kern w:val="0"/>
                <w:sz w:val="22"/>
                <w:szCs w:val="22"/>
              </w:rPr>
            </w:pPr>
          </w:p>
        </w:tc>
        <w:tc>
          <w:tcPr>
            <w:tcW w:w="2176"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kern w:val="0"/>
                <w:sz w:val="22"/>
                <w:szCs w:val="22"/>
              </w:rPr>
            </w:pPr>
          </w:p>
        </w:tc>
        <w:tc>
          <w:tcPr>
            <w:tcW w:w="2178"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715" w:type="dxa"/>
            <w:gridSpan w:val="3"/>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217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433.85</w:t>
            </w:r>
          </w:p>
        </w:tc>
        <w:tc>
          <w:tcPr>
            <w:tcW w:w="217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418.10</w:t>
            </w:r>
          </w:p>
        </w:tc>
        <w:tc>
          <w:tcPr>
            <w:tcW w:w="217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15.75</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301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3415"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工资福利支出</w:t>
            </w:r>
          </w:p>
        </w:tc>
        <w:tc>
          <w:tcPr>
            <w:tcW w:w="217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390.45</w:t>
            </w:r>
          </w:p>
        </w:tc>
        <w:tc>
          <w:tcPr>
            <w:tcW w:w="217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390.45</w:t>
            </w:r>
          </w:p>
        </w:tc>
        <w:tc>
          <w:tcPr>
            <w:tcW w:w="217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3415"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基本工资</w:t>
            </w:r>
          </w:p>
        </w:tc>
        <w:tc>
          <w:tcPr>
            <w:tcW w:w="217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78.47</w:t>
            </w:r>
          </w:p>
        </w:tc>
        <w:tc>
          <w:tcPr>
            <w:tcW w:w="217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78.47</w:t>
            </w:r>
          </w:p>
        </w:tc>
        <w:tc>
          <w:tcPr>
            <w:tcW w:w="217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3415"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津贴补贴</w:t>
            </w:r>
          </w:p>
        </w:tc>
        <w:tc>
          <w:tcPr>
            <w:tcW w:w="217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78.59</w:t>
            </w:r>
          </w:p>
        </w:tc>
        <w:tc>
          <w:tcPr>
            <w:tcW w:w="217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78.59</w:t>
            </w:r>
          </w:p>
        </w:tc>
        <w:tc>
          <w:tcPr>
            <w:tcW w:w="217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03</w:t>
            </w:r>
          </w:p>
        </w:tc>
        <w:tc>
          <w:tcPr>
            <w:tcW w:w="3415"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奖金</w:t>
            </w:r>
          </w:p>
        </w:tc>
        <w:tc>
          <w:tcPr>
            <w:tcW w:w="217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10.97</w:t>
            </w:r>
          </w:p>
        </w:tc>
        <w:tc>
          <w:tcPr>
            <w:tcW w:w="217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10.97</w:t>
            </w:r>
          </w:p>
        </w:tc>
        <w:tc>
          <w:tcPr>
            <w:tcW w:w="217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3415"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绩效工资</w:t>
            </w:r>
          </w:p>
        </w:tc>
        <w:tc>
          <w:tcPr>
            <w:tcW w:w="217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85.66</w:t>
            </w:r>
          </w:p>
        </w:tc>
        <w:tc>
          <w:tcPr>
            <w:tcW w:w="217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85.66</w:t>
            </w:r>
          </w:p>
        </w:tc>
        <w:tc>
          <w:tcPr>
            <w:tcW w:w="217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08</w:t>
            </w:r>
          </w:p>
        </w:tc>
        <w:tc>
          <w:tcPr>
            <w:tcW w:w="3415"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机关事业单位基本养老保险缴费</w:t>
            </w:r>
          </w:p>
        </w:tc>
        <w:tc>
          <w:tcPr>
            <w:tcW w:w="217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31.80</w:t>
            </w:r>
          </w:p>
        </w:tc>
        <w:tc>
          <w:tcPr>
            <w:tcW w:w="217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31.80</w:t>
            </w:r>
          </w:p>
        </w:tc>
        <w:tc>
          <w:tcPr>
            <w:tcW w:w="217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09</w:t>
            </w:r>
          </w:p>
        </w:tc>
        <w:tc>
          <w:tcPr>
            <w:tcW w:w="3415"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职业年金缴费</w:t>
            </w:r>
          </w:p>
        </w:tc>
        <w:tc>
          <w:tcPr>
            <w:tcW w:w="217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15.90</w:t>
            </w:r>
          </w:p>
        </w:tc>
        <w:tc>
          <w:tcPr>
            <w:tcW w:w="217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15.90</w:t>
            </w:r>
          </w:p>
        </w:tc>
        <w:tc>
          <w:tcPr>
            <w:tcW w:w="217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3415"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职工基本医疗保险缴费</w:t>
            </w:r>
          </w:p>
        </w:tc>
        <w:tc>
          <w:tcPr>
            <w:tcW w:w="217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12.25</w:t>
            </w:r>
          </w:p>
        </w:tc>
        <w:tc>
          <w:tcPr>
            <w:tcW w:w="217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12.25</w:t>
            </w:r>
          </w:p>
        </w:tc>
        <w:tc>
          <w:tcPr>
            <w:tcW w:w="217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3415"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公务员医疗补助缴费</w:t>
            </w:r>
          </w:p>
        </w:tc>
        <w:tc>
          <w:tcPr>
            <w:tcW w:w="217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15.05</w:t>
            </w:r>
          </w:p>
        </w:tc>
        <w:tc>
          <w:tcPr>
            <w:tcW w:w="217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15.05</w:t>
            </w:r>
          </w:p>
        </w:tc>
        <w:tc>
          <w:tcPr>
            <w:tcW w:w="217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3415"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其他社会保障缴费</w:t>
            </w:r>
          </w:p>
        </w:tc>
        <w:tc>
          <w:tcPr>
            <w:tcW w:w="217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1.21</w:t>
            </w:r>
          </w:p>
        </w:tc>
        <w:tc>
          <w:tcPr>
            <w:tcW w:w="217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1.21</w:t>
            </w:r>
          </w:p>
        </w:tc>
        <w:tc>
          <w:tcPr>
            <w:tcW w:w="217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13</w:t>
            </w:r>
          </w:p>
        </w:tc>
        <w:tc>
          <w:tcPr>
            <w:tcW w:w="3415"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住房公积金</w:t>
            </w:r>
          </w:p>
        </w:tc>
        <w:tc>
          <w:tcPr>
            <w:tcW w:w="217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29.28</w:t>
            </w:r>
          </w:p>
        </w:tc>
        <w:tc>
          <w:tcPr>
            <w:tcW w:w="217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29.28</w:t>
            </w:r>
          </w:p>
        </w:tc>
        <w:tc>
          <w:tcPr>
            <w:tcW w:w="217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99</w:t>
            </w:r>
          </w:p>
        </w:tc>
        <w:tc>
          <w:tcPr>
            <w:tcW w:w="3415"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其他工资福利支出</w:t>
            </w:r>
          </w:p>
        </w:tc>
        <w:tc>
          <w:tcPr>
            <w:tcW w:w="217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31.26</w:t>
            </w:r>
          </w:p>
        </w:tc>
        <w:tc>
          <w:tcPr>
            <w:tcW w:w="217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31.26</w:t>
            </w:r>
          </w:p>
        </w:tc>
        <w:tc>
          <w:tcPr>
            <w:tcW w:w="217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302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3415"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商品和服务支出</w:t>
            </w:r>
          </w:p>
        </w:tc>
        <w:tc>
          <w:tcPr>
            <w:tcW w:w="217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15.75</w:t>
            </w:r>
          </w:p>
        </w:tc>
        <w:tc>
          <w:tcPr>
            <w:tcW w:w="217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17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15.75</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3415"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办公费</w:t>
            </w:r>
          </w:p>
        </w:tc>
        <w:tc>
          <w:tcPr>
            <w:tcW w:w="217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2.10</w:t>
            </w:r>
          </w:p>
        </w:tc>
        <w:tc>
          <w:tcPr>
            <w:tcW w:w="217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17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2.10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05</w:t>
            </w:r>
          </w:p>
        </w:tc>
        <w:tc>
          <w:tcPr>
            <w:tcW w:w="3415"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水费</w:t>
            </w:r>
          </w:p>
        </w:tc>
        <w:tc>
          <w:tcPr>
            <w:tcW w:w="217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0.30</w:t>
            </w:r>
          </w:p>
        </w:tc>
        <w:tc>
          <w:tcPr>
            <w:tcW w:w="217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17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0.30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06</w:t>
            </w:r>
          </w:p>
        </w:tc>
        <w:tc>
          <w:tcPr>
            <w:tcW w:w="3415"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电费</w:t>
            </w:r>
          </w:p>
        </w:tc>
        <w:tc>
          <w:tcPr>
            <w:tcW w:w="217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0.30</w:t>
            </w:r>
          </w:p>
        </w:tc>
        <w:tc>
          <w:tcPr>
            <w:tcW w:w="217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17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0.30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3415"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邮电费</w:t>
            </w:r>
          </w:p>
        </w:tc>
        <w:tc>
          <w:tcPr>
            <w:tcW w:w="217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1.20</w:t>
            </w:r>
          </w:p>
        </w:tc>
        <w:tc>
          <w:tcPr>
            <w:tcW w:w="217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17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1.20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08</w:t>
            </w:r>
          </w:p>
        </w:tc>
        <w:tc>
          <w:tcPr>
            <w:tcW w:w="3415"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取暖费</w:t>
            </w:r>
          </w:p>
        </w:tc>
        <w:tc>
          <w:tcPr>
            <w:tcW w:w="217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1.50</w:t>
            </w:r>
          </w:p>
        </w:tc>
        <w:tc>
          <w:tcPr>
            <w:tcW w:w="217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17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1.50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3415"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差旅费</w:t>
            </w:r>
          </w:p>
        </w:tc>
        <w:tc>
          <w:tcPr>
            <w:tcW w:w="217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1.35</w:t>
            </w:r>
          </w:p>
        </w:tc>
        <w:tc>
          <w:tcPr>
            <w:tcW w:w="217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17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1.35</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17</w:t>
            </w:r>
          </w:p>
        </w:tc>
        <w:tc>
          <w:tcPr>
            <w:tcW w:w="3415"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公务接待费</w:t>
            </w:r>
          </w:p>
        </w:tc>
        <w:tc>
          <w:tcPr>
            <w:tcW w:w="217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0.45</w:t>
            </w:r>
          </w:p>
        </w:tc>
        <w:tc>
          <w:tcPr>
            <w:tcW w:w="217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17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0.45</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28</w:t>
            </w:r>
          </w:p>
        </w:tc>
        <w:tc>
          <w:tcPr>
            <w:tcW w:w="3415"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工会经费</w:t>
            </w:r>
          </w:p>
        </w:tc>
        <w:tc>
          <w:tcPr>
            <w:tcW w:w="217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3.77</w:t>
            </w:r>
          </w:p>
        </w:tc>
        <w:tc>
          <w:tcPr>
            <w:tcW w:w="217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17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3.77</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31</w:t>
            </w:r>
          </w:p>
        </w:tc>
        <w:tc>
          <w:tcPr>
            <w:tcW w:w="3415"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公务用车运行维护费</w:t>
            </w:r>
          </w:p>
        </w:tc>
        <w:tc>
          <w:tcPr>
            <w:tcW w:w="217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217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17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1.00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39</w:t>
            </w:r>
          </w:p>
        </w:tc>
        <w:tc>
          <w:tcPr>
            <w:tcW w:w="3415"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其他交通费用</w:t>
            </w:r>
          </w:p>
        </w:tc>
        <w:tc>
          <w:tcPr>
            <w:tcW w:w="217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1.74</w:t>
            </w:r>
          </w:p>
        </w:tc>
        <w:tc>
          <w:tcPr>
            <w:tcW w:w="217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17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1.74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99</w:t>
            </w:r>
          </w:p>
        </w:tc>
        <w:tc>
          <w:tcPr>
            <w:tcW w:w="3415"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其他商品和服务支出</w:t>
            </w:r>
          </w:p>
        </w:tc>
        <w:tc>
          <w:tcPr>
            <w:tcW w:w="217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2.04</w:t>
            </w:r>
          </w:p>
        </w:tc>
        <w:tc>
          <w:tcPr>
            <w:tcW w:w="217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17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2.04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303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3415"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对个人和家庭的补助</w:t>
            </w:r>
          </w:p>
        </w:tc>
        <w:tc>
          <w:tcPr>
            <w:tcW w:w="217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27.65</w:t>
            </w:r>
          </w:p>
        </w:tc>
        <w:tc>
          <w:tcPr>
            <w:tcW w:w="217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27.65</w:t>
            </w:r>
          </w:p>
        </w:tc>
        <w:tc>
          <w:tcPr>
            <w:tcW w:w="217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3415"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退休费</w:t>
            </w:r>
          </w:p>
        </w:tc>
        <w:tc>
          <w:tcPr>
            <w:tcW w:w="217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19.56</w:t>
            </w:r>
          </w:p>
        </w:tc>
        <w:tc>
          <w:tcPr>
            <w:tcW w:w="217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19.56</w:t>
            </w:r>
          </w:p>
        </w:tc>
        <w:tc>
          <w:tcPr>
            <w:tcW w:w="217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05</w:t>
            </w:r>
          </w:p>
        </w:tc>
        <w:tc>
          <w:tcPr>
            <w:tcW w:w="3415"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生活补助</w:t>
            </w:r>
          </w:p>
        </w:tc>
        <w:tc>
          <w:tcPr>
            <w:tcW w:w="217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1.69</w:t>
            </w:r>
          </w:p>
        </w:tc>
        <w:tc>
          <w:tcPr>
            <w:tcW w:w="217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1.69</w:t>
            </w:r>
          </w:p>
        </w:tc>
        <w:tc>
          <w:tcPr>
            <w:tcW w:w="217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3415"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医疗费补助</w:t>
            </w:r>
          </w:p>
        </w:tc>
        <w:tc>
          <w:tcPr>
            <w:tcW w:w="217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6.40</w:t>
            </w:r>
          </w:p>
        </w:tc>
        <w:tc>
          <w:tcPr>
            <w:tcW w:w="217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6.40</w:t>
            </w:r>
          </w:p>
        </w:tc>
        <w:tc>
          <w:tcPr>
            <w:tcW w:w="217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bl>
    <w:p>
      <w:pPr>
        <w:rPr>
          <w:rFonts w:ascii="仿宋_GB2312" w:eastAsia="仿宋_GB2312"/>
          <w:sz w:val="10"/>
          <w:szCs w:val="32"/>
        </w:rPr>
      </w:pPr>
      <w:r>
        <w:rPr>
          <w:rFonts w:hint="eastAsia" w:ascii="仿宋_GB2312" w:eastAsia="仿宋_GB2312"/>
          <w:sz w:val="10"/>
          <w:szCs w:val="32"/>
        </w:rPr>
        <w:br w:type="page"/>
      </w:r>
    </w:p>
    <w:tbl>
      <w:tblPr>
        <w:tblStyle w:val="5"/>
        <w:tblW w:w="11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F15"/>
            <w:bookmarkEnd w:id="1"/>
            <w:bookmarkStart w:id="2" w:name="RANGE!A1:F62"/>
            <w:bookmarkEnd w:id="2"/>
            <w:bookmarkStart w:id="3" w:name="RANGE!A1:G6"/>
            <w:bookmarkEnd w:id="3"/>
            <w:r>
              <w:rPr>
                <w:rFonts w:hint="eastAsia" w:ascii="宋体" w:hAnsi="宋体" w:cs="宋体"/>
                <w:b/>
                <w:kern w:val="0"/>
                <w:sz w:val="18"/>
                <w:szCs w:val="18"/>
              </w:rPr>
              <w:t>部门公开表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58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single" w:color="auto" w:sz="4" w:space="0"/>
              <w:right w:val="nil"/>
            </w:tcBorders>
            <w:noWrap/>
            <w:vAlign w:val="center"/>
          </w:tcPr>
          <w:p>
            <w:pPr>
              <w:jc w:val="right"/>
              <w:rPr>
                <w:rFonts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790" w:type="dxa"/>
            <w:gridSpan w:val="6"/>
            <w:tcBorders>
              <w:top w:val="single" w:color="auto" w:sz="4" w:space="0"/>
            </w:tcBorders>
            <w:noWrap/>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2023年预算数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5" w:type="dxa"/>
            <w:vMerge w:val="restart"/>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vMerge w:val="continue"/>
            <w:noWrap/>
            <w:vAlign w:val="center"/>
          </w:tcPr>
          <w:p>
            <w:pPr>
              <w:widowControl/>
              <w:jc w:val="left"/>
              <w:rPr>
                <w:rFonts w:ascii="宋体" w:hAnsi="宋体" w:cs="宋体"/>
                <w:b/>
                <w:bCs/>
                <w:color w:val="000000"/>
                <w:kern w:val="0"/>
                <w:sz w:val="22"/>
                <w:szCs w:val="22"/>
              </w:rPr>
            </w:pPr>
          </w:p>
        </w:tc>
        <w:tc>
          <w:tcPr>
            <w:tcW w:w="965" w:type="dxa"/>
            <w:vMerge w:val="continue"/>
            <w:noWrap/>
            <w:vAlign w:val="center"/>
          </w:tcPr>
          <w:p>
            <w:pPr>
              <w:widowControl/>
              <w:jc w:val="left"/>
              <w:rPr>
                <w:rFonts w:ascii="宋体" w:hAnsi="宋体" w:cs="宋体"/>
                <w:b/>
                <w:bCs/>
                <w:color w:val="000000"/>
                <w:kern w:val="0"/>
                <w:sz w:val="22"/>
                <w:szCs w:val="22"/>
              </w:rPr>
            </w:pPr>
          </w:p>
        </w:tc>
        <w:tc>
          <w:tcPr>
            <w:tcW w:w="965" w:type="dxa"/>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noWrap/>
            <w:vAlign w:val="center"/>
          </w:tcPr>
          <w:p>
            <w:pPr>
              <w:widowControl/>
              <w:jc w:val="left"/>
              <w:rPr>
                <w:rFonts w:ascii="宋体" w:hAnsi="宋体" w:cs="宋体"/>
                <w:b/>
                <w:bCs/>
                <w:color w:val="000000"/>
                <w:kern w:val="0"/>
                <w:sz w:val="22"/>
                <w:szCs w:val="22"/>
              </w:rPr>
            </w:pPr>
          </w:p>
        </w:tc>
        <w:tc>
          <w:tcPr>
            <w:tcW w:w="965" w:type="dxa"/>
            <w:vMerge w:val="continue"/>
            <w:noWrap/>
            <w:vAlign w:val="center"/>
          </w:tcPr>
          <w:p>
            <w:pPr>
              <w:widowControl/>
              <w:jc w:val="left"/>
              <w:rPr>
                <w:rFonts w:ascii="宋体" w:hAnsi="宋体" w:cs="宋体"/>
                <w:b/>
                <w:bCs/>
                <w:color w:val="000000"/>
                <w:kern w:val="0"/>
                <w:sz w:val="22"/>
                <w:szCs w:val="22"/>
              </w:rPr>
            </w:pPr>
          </w:p>
        </w:tc>
        <w:tc>
          <w:tcPr>
            <w:tcW w:w="965" w:type="dxa"/>
            <w:vMerge w:val="continue"/>
            <w:noWrap/>
            <w:vAlign w:val="center"/>
          </w:tcPr>
          <w:p>
            <w:pPr>
              <w:widowControl/>
              <w:jc w:val="left"/>
              <w:rPr>
                <w:rFonts w:ascii="宋体" w:hAnsi="宋体" w:cs="宋体"/>
                <w:b/>
                <w:bCs/>
                <w:color w:val="000000"/>
                <w:kern w:val="0"/>
                <w:sz w:val="22"/>
                <w:szCs w:val="22"/>
              </w:rPr>
            </w:pPr>
          </w:p>
        </w:tc>
        <w:tc>
          <w:tcPr>
            <w:tcW w:w="965" w:type="dxa"/>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noWrap/>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1.39</w:t>
            </w: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1.00</w:t>
            </w: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1.00</w:t>
            </w: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0.39</w:t>
            </w: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1.45</w:t>
            </w: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1.00</w:t>
            </w: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1.00</w:t>
            </w:r>
          </w:p>
        </w:tc>
        <w:tc>
          <w:tcPr>
            <w:tcW w:w="972"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0.45</w:t>
            </w:r>
          </w:p>
        </w:tc>
      </w:tr>
    </w:tbl>
    <w:p>
      <w:pPr>
        <w:rPr>
          <w:rFonts w:ascii="仿宋_GB2312" w:eastAsia="仿宋_GB2312"/>
          <w:sz w:val="32"/>
          <w:szCs w:val="32"/>
        </w:rPr>
      </w:pPr>
      <w:r>
        <w:rPr>
          <w:rFonts w:hint="eastAsia" w:ascii="仿宋_GB2312" w:eastAsia="仿宋_GB2312"/>
          <w:sz w:val="32"/>
          <w:szCs w:val="32"/>
        </w:rPr>
        <w:br w:type="page"/>
      </w:r>
    </w:p>
    <w:tbl>
      <w:tblPr>
        <w:tblStyle w:val="5"/>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noWrap/>
            <w:vAlign w:val="center"/>
          </w:tcPr>
          <w:p>
            <w:pPr>
              <w:widowControl/>
              <w:jc w:val="right"/>
              <w:rPr>
                <w:rFonts w:ascii="宋体" w:hAnsi="宋体" w:cs="宋体"/>
                <w:b/>
                <w:bCs/>
                <w:kern w:val="0"/>
                <w:sz w:val="44"/>
                <w:szCs w:val="44"/>
              </w:rPr>
            </w:pPr>
            <w:r>
              <w:rPr>
                <w:rFonts w:hint="eastAsia" w:ascii="宋体" w:hAnsi="宋体" w:cs="宋体"/>
                <w:b/>
                <w:kern w:val="0"/>
                <w:sz w:val="18"/>
                <w:szCs w:val="18"/>
              </w:rPr>
              <w:t>部门公开表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2023年预算数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ascii="仿宋_GB2312" w:eastAsia="仿宋_GB2312"/>
          <w:sz w:val="32"/>
          <w:szCs w:val="32"/>
        </w:rPr>
      </w:pPr>
      <w:r>
        <w:rPr>
          <w:rFonts w:hint="eastAsia" w:ascii="仿宋_GB2312" w:eastAsia="仿宋_GB2312"/>
          <w:sz w:val="32"/>
          <w:szCs w:val="32"/>
        </w:rPr>
        <w:t>（注：此表为空表）</w:t>
      </w:r>
    </w:p>
    <w:p>
      <w:pPr>
        <w:rPr>
          <w:rFonts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ascii="小标宋" w:eastAsia="小标宋"/>
          <w:b/>
          <w:color w:val="000000"/>
          <w:sz w:val="36"/>
          <w:szCs w:val="36"/>
        </w:rPr>
      </w:pPr>
      <w:bookmarkStart w:id="5" w:name="RANGE!A1:K13"/>
      <w:bookmarkEnd w:id="5"/>
      <w:r>
        <w:rPr>
          <w:rFonts w:hint="eastAsia" w:ascii="小标宋" w:eastAsia="小标宋"/>
          <w:b/>
          <w:color w:val="000000"/>
          <w:sz w:val="36"/>
          <w:szCs w:val="36"/>
        </w:rPr>
        <w:t>第三部分  部门预算情况说明</w:t>
      </w:r>
    </w:p>
    <w:p>
      <w:pPr>
        <w:ind w:firstLine="640" w:firstLineChars="200"/>
        <w:rPr>
          <w:rFonts w:ascii="黑体" w:hAnsi="宋体" w:eastAsia="黑体"/>
          <w:color w:val="000000"/>
          <w:sz w:val="32"/>
          <w:szCs w:val="32"/>
        </w:rPr>
      </w:pP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一、关于中共湟源县委党校2023年部门收支预算情况的总体说明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中共湟源县委党校所有收入和支出均纳入部门预算管理。收入包括：一般公共预算拨款收入445.85万元；支出包括：教育支出312.71万元，社会保障和就业支出70.16万元，卫生健康支出33.70万元，住房保障支出29.28万元。中共湟源县委党校2023年收支总预算445.85万元</w:t>
      </w:r>
      <w:r>
        <w:rPr>
          <w:rFonts w:ascii="仿宋_GB2312" w:eastAsia="仿宋_GB2312"/>
          <w:sz w:val="32"/>
          <w:szCs w:val="32"/>
        </w:rPr>
        <w:t>。</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二、关于中共湟源县委党校2023年部门收入预算情况说明</w:t>
      </w:r>
    </w:p>
    <w:p>
      <w:pPr>
        <w:ind w:firstLine="640" w:firstLineChars="200"/>
        <w:rPr>
          <w:rFonts w:ascii="仿宋_GB2312" w:eastAsia="仿宋_GB2312"/>
          <w:sz w:val="32"/>
          <w:szCs w:val="32"/>
        </w:rPr>
      </w:pPr>
      <w:r>
        <w:rPr>
          <w:rFonts w:hint="eastAsia" w:ascii="仿宋_GB2312" w:eastAsia="仿宋_GB2312"/>
          <w:sz w:val="32"/>
          <w:szCs w:val="32"/>
        </w:rPr>
        <w:t>中共湟源县委党校2023年收入预算445.85万元，其中：一般公共预算拨款收入445.85万元，占100.00%。</w:t>
      </w:r>
    </w:p>
    <w:p>
      <w:pPr>
        <w:ind w:firstLine="640" w:firstLineChars="200"/>
        <w:rPr>
          <w:rFonts w:ascii="仿宋_GB2312" w:eastAsia="仿宋_GB2312"/>
          <w:sz w:val="32"/>
          <w:szCs w:val="32"/>
        </w:rPr>
      </w:pPr>
      <w:r>
        <w:rPr>
          <w:rFonts w:ascii="仿宋_GB2312" w:eastAsia="仿宋_GB2312"/>
          <w:sz w:val="32"/>
          <w:szCs w:val="32"/>
        </w:rPr>
        <w:drawing>
          <wp:inline distT="0" distB="0" distL="0" distR="0">
            <wp:extent cx="4529455" cy="2084070"/>
            <wp:effectExtent l="19050" t="0" r="444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a:srcRect/>
                    <a:stretch>
                      <a:fillRect/>
                    </a:stretch>
                  </pic:blipFill>
                  <pic:spPr>
                    <a:xfrm>
                      <a:off x="0" y="0"/>
                      <a:ext cx="4529455" cy="2084070"/>
                    </a:xfrm>
                    <a:prstGeom prst="rect">
                      <a:avLst/>
                    </a:prstGeom>
                    <a:noFill/>
                    <a:ln w="9525">
                      <a:noFill/>
                      <a:miter lim="800000"/>
                      <a:headEnd/>
                      <a:tailEnd/>
                    </a:ln>
                  </pic:spPr>
                </pic:pic>
              </a:graphicData>
            </a:graphic>
          </wp:inline>
        </w:drawing>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三、关于中共湟源县委党校2023年部门支出预算情况说明</w:t>
      </w:r>
    </w:p>
    <w:p>
      <w:pPr>
        <w:ind w:firstLine="645"/>
        <w:rPr>
          <w:rFonts w:ascii="仿宋_GB2312" w:eastAsia="仿宋_GB2312"/>
          <w:sz w:val="32"/>
          <w:szCs w:val="32"/>
        </w:rPr>
      </w:pPr>
      <w:r>
        <w:rPr>
          <w:rFonts w:hint="eastAsia" w:ascii="仿宋_GB2312" w:eastAsia="仿宋_GB2312"/>
          <w:sz w:val="32"/>
          <w:szCs w:val="32"/>
        </w:rPr>
        <w:t>中共湟源县委党校2023年支出预算445.85万元，其中：基本支出433.85万元，占97.31%；项目支出12.00万元，占2.69%。</w:t>
      </w:r>
    </w:p>
    <w:p>
      <w:pPr>
        <w:ind w:firstLine="645"/>
        <w:rPr>
          <w:rFonts w:ascii="仿宋_GB2312" w:eastAsia="仿宋_GB2312"/>
          <w:sz w:val="32"/>
          <w:szCs w:val="32"/>
        </w:rPr>
      </w:pPr>
      <w:r>
        <w:rPr>
          <w:rFonts w:ascii="仿宋_GB2312" w:eastAsia="仿宋_GB2312"/>
          <w:sz w:val="32"/>
          <w:szCs w:val="32"/>
        </w:rPr>
        <w:drawing>
          <wp:inline distT="0" distB="0" distL="0" distR="0">
            <wp:extent cx="4486910" cy="2062480"/>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a:srcRect/>
                    <a:stretch>
                      <a:fillRect/>
                    </a:stretch>
                  </pic:blipFill>
                  <pic:spPr>
                    <a:xfrm>
                      <a:off x="0" y="0"/>
                      <a:ext cx="4486910" cy="2062480"/>
                    </a:xfrm>
                    <a:prstGeom prst="rect">
                      <a:avLst/>
                    </a:prstGeom>
                    <a:noFill/>
                    <a:ln w="9525">
                      <a:noFill/>
                      <a:miter lim="800000"/>
                      <a:headEnd/>
                      <a:tailEnd/>
                    </a:ln>
                  </pic:spPr>
                </pic:pic>
              </a:graphicData>
            </a:graphic>
          </wp:inline>
        </w:drawing>
      </w: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四、关于中共湟源县委党校2023年财政拨款收支预算情况的总体说明</w:t>
      </w:r>
    </w:p>
    <w:p>
      <w:pPr>
        <w:ind w:firstLine="645"/>
        <w:rPr>
          <w:rFonts w:ascii="仿宋_GB2312" w:eastAsia="仿宋_GB2312"/>
          <w:sz w:val="32"/>
          <w:szCs w:val="32"/>
        </w:rPr>
      </w:pPr>
      <w:r>
        <w:rPr>
          <w:rFonts w:hint="eastAsia" w:ascii="仿宋_GB2312" w:eastAsia="仿宋_GB2312"/>
          <w:sz w:val="32"/>
          <w:szCs w:val="32"/>
        </w:rPr>
        <w:t>中共湟源县委党校2023年财政拨款收支总预算445.85万元，比上年增加23.87万元，主要是</w:t>
      </w:r>
      <w:r>
        <w:rPr>
          <w:rFonts w:hint="eastAsia" w:ascii="仿宋_GB2312" w:eastAsia="仿宋_GB2312"/>
          <w:sz w:val="32"/>
          <w:szCs w:val="32"/>
          <w:lang w:val="en-US" w:eastAsia="zh-CN"/>
        </w:rPr>
        <w:t>2023年增加新招录事业人员5人，工资、养老、医疗、住房公积金等相应增加</w:t>
      </w:r>
      <w:r>
        <w:rPr>
          <w:rFonts w:hint="eastAsia" w:ascii="仿宋_GB2312" w:eastAsia="仿宋_GB2312"/>
          <w:sz w:val="32"/>
          <w:szCs w:val="32"/>
        </w:rPr>
        <w:t>。收入包括：一般公共预算拨款收入445.85万元，上年结转0.00万元；政府性基金预算拨款收入0.00万元，上年结转0.00万元。支出包括： 教育支出312.71万元， 社会保障和就业支出70.16万元， 卫生健康支出33.70万元， 住房保障支出29.28万元。</w:t>
      </w:r>
    </w:p>
    <w:p>
      <w:pPr>
        <w:ind w:firstLine="645"/>
        <w:rPr>
          <w:rFonts w:ascii="仿宋_GB2312" w:eastAsia="仿宋_GB2312"/>
          <w:sz w:val="32"/>
          <w:szCs w:val="32"/>
        </w:rPr>
      </w:pPr>
      <w:r>
        <w:rPr>
          <w:rFonts w:ascii="仿宋_GB2312" w:eastAsia="仿宋_GB2312"/>
          <w:sz w:val="32"/>
          <w:szCs w:val="32"/>
        </w:rPr>
        <w:drawing>
          <wp:inline distT="0" distB="0" distL="0" distR="0">
            <wp:extent cx="4529455" cy="2084070"/>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
                    <a:srcRect/>
                    <a:stretch>
                      <a:fillRect/>
                    </a:stretch>
                  </pic:blipFill>
                  <pic:spPr>
                    <a:xfrm>
                      <a:off x="0" y="0"/>
                      <a:ext cx="4529455" cy="2084070"/>
                    </a:xfrm>
                    <a:prstGeom prst="rect">
                      <a:avLst/>
                    </a:prstGeom>
                    <a:noFill/>
                    <a:ln w="9525">
                      <a:noFill/>
                      <a:miter lim="800000"/>
                      <a:headEnd/>
                      <a:tailEnd/>
                    </a:ln>
                  </pic:spPr>
                </pic:pic>
              </a:graphicData>
            </a:graphic>
          </wp:inline>
        </w:drawing>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五、关于中共湟源县委党校2023年一般公共预算当年拨款情况说明</w:t>
      </w:r>
    </w:p>
    <w:p>
      <w:pPr>
        <w:ind w:firstLine="645"/>
        <w:rPr>
          <w:rFonts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ascii="仿宋_GB2312" w:eastAsia="仿宋_GB2312"/>
          <w:iCs/>
          <w:sz w:val="32"/>
          <w:szCs w:val="32"/>
        </w:rPr>
      </w:pPr>
      <w:r>
        <w:rPr>
          <w:rFonts w:hint="eastAsia" w:ascii="仿宋_GB2312" w:eastAsia="仿宋_GB2312"/>
          <w:sz w:val="32"/>
          <w:szCs w:val="32"/>
        </w:rPr>
        <w:t>中共湟源县委党校2023年一般公共预算当年拨款445.85万元,比上年增加23.87万元，主要是</w:t>
      </w:r>
      <w:r>
        <w:rPr>
          <w:rFonts w:hint="eastAsia" w:ascii="仿宋_GB2312" w:eastAsia="仿宋_GB2312"/>
          <w:sz w:val="32"/>
          <w:szCs w:val="32"/>
          <w:lang w:val="en-US" w:eastAsia="zh-CN"/>
        </w:rPr>
        <w:t>2023年增加新招录事业人员5人，工资、养老、医疗、住房公积金等相应增加</w:t>
      </w:r>
      <w:r>
        <w:rPr>
          <w:rFonts w:hint="eastAsia" w:ascii="仿宋_GB2312" w:eastAsia="仿宋_GB2312"/>
          <w:iCs/>
          <w:sz w:val="32"/>
          <w:szCs w:val="32"/>
        </w:rPr>
        <w:t>。</w:t>
      </w:r>
    </w:p>
    <w:p>
      <w:pPr>
        <w:ind w:firstLine="645"/>
        <w:rPr>
          <w:rFonts w:ascii="仿宋_GB2312" w:eastAsia="仿宋_GB2312"/>
          <w:iCs/>
          <w:sz w:val="32"/>
          <w:szCs w:val="32"/>
        </w:rPr>
      </w:pPr>
      <w:r>
        <w:rPr>
          <w:rFonts w:ascii="仿宋_GB2312" w:eastAsia="仿宋_GB2312"/>
          <w:iCs/>
          <w:sz w:val="32"/>
          <w:szCs w:val="32"/>
        </w:rPr>
        <w:drawing>
          <wp:inline distT="0" distB="0" distL="0" distR="0">
            <wp:extent cx="4380865" cy="149923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0"/>
                    <a:srcRect/>
                    <a:stretch>
                      <a:fillRect/>
                    </a:stretch>
                  </pic:blipFill>
                  <pic:spPr>
                    <a:xfrm>
                      <a:off x="0" y="0"/>
                      <a:ext cx="4380865" cy="1499235"/>
                    </a:xfrm>
                    <a:prstGeom prst="rect">
                      <a:avLst/>
                    </a:prstGeom>
                    <a:noFill/>
                    <a:ln w="9525">
                      <a:noFill/>
                      <a:miter lim="800000"/>
                      <a:headEnd/>
                      <a:tailEnd/>
                    </a:ln>
                  </pic:spPr>
                </pic:pic>
              </a:graphicData>
            </a:graphic>
          </wp:inline>
        </w:drawing>
      </w:r>
    </w:p>
    <w:p>
      <w:pPr>
        <w:ind w:firstLine="645"/>
        <w:rPr>
          <w:rFonts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ascii="仿宋_GB2312" w:eastAsia="仿宋_GB2312"/>
          <w:sz w:val="32"/>
          <w:szCs w:val="32"/>
        </w:rPr>
      </w:pPr>
      <w:r>
        <w:rPr>
          <w:rFonts w:hint="eastAsia" w:ascii="仿宋_GB2312" w:eastAsia="仿宋_GB2312"/>
          <w:sz w:val="32"/>
          <w:szCs w:val="32"/>
        </w:rPr>
        <w:t>教育支出312.71万元，占70.14%；社会保障和就业支出70.16万元，占15.74%；卫生健康支出33.70万元，占7.56%；住房保障支出29.28万元，占6.57%。</w:t>
      </w:r>
    </w:p>
    <w:p>
      <w:pPr>
        <w:ind w:firstLine="645"/>
        <w:rPr>
          <w:rFonts w:ascii="仿宋_GB2312" w:eastAsia="仿宋_GB2312"/>
          <w:sz w:val="32"/>
          <w:szCs w:val="32"/>
        </w:rPr>
      </w:pPr>
      <w:r>
        <w:rPr>
          <w:rFonts w:ascii="仿宋_GB2312" w:eastAsia="仿宋_GB2312"/>
          <w:sz w:val="32"/>
          <w:szCs w:val="32"/>
        </w:rPr>
        <w:drawing>
          <wp:inline distT="0" distB="0" distL="0" distR="0">
            <wp:extent cx="4391025" cy="2019935"/>
            <wp:effectExtent l="1905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1"/>
                    <a:srcRect/>
                    <a:stretch>
                      <a:fillRect/>
                    </a:stretch>
                  </pic:blipFill>
                  <pic:spPr>
                    <a:xfrm>
                      <a:off x="0" y="0"/>
                      <a:ext cx="4391025" cy="2019935"/>
                    </a:xfrm>
                    <a:prstGeom prst="rect">
                      <a:avLst/>
                    </a:prstGeom>
                    <a:noFill/>
                    <a:ln w="9525">
                      <a:noFill/>
                      <a:miter lim="800000"/>
                      <a:headEnd/>
                      <a:tailEnd/>
                    </a:ln>
                  </pic:spPr>
                </pic:pic>
              </a:graphicData>
            </a:graphic>
          </wp:inline>
        </w:drawing>
      </w:r>
    </w:p>
    <w:p>
      <w:pPr>
        <w:ind w:firstLine="645"/>
        <w:rPr>
          <w:rFonts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ascii="仿宋_GB2312" w:eastAsia="仿宋_GB2312"/>
          <w:sz w:val="32"/>
          <w:szCs w:val="32"/>
        </w:rPr>
      </w:pPr>
      <w:r>
        <w:rPr>
          <w:rFonts w:hint="eastAsia" w:ascii="仿宋_GB2312" w:eastAsia="仿宋_GB2312"/>
          <w:sz w:val="32"/>
          <w:szCs w:val="32"/>
        </w:rPr>
        <w:t>1、教育支出（类）进修和培训（款）干部教育（项）2023年预算数为312.71万元，比上年减少4.81万元，下降1.51%。主要是强化党校基础设施建设项目减少。</w:t>
      </w:r>
    </w:p>
    <w:p>
      <w:pPr>
        <w:ind w:firstLine="645"/>
        <w:rPr>
          <w:rFonts w:hint="eastAsia" w:ascii="仿宋_GB2312" w:eastAsia="仿宋_GB2312"/>
          <w:sz w:val="32"/>
          <w:szCs w:val="32"/>
          <w:lang w:val="en-US" w:eastAsia="zh-CN"/>
        </w:rPr>
      </w:pPr>
      <w:r>
        <w:rPr>
          <w:rFonts w:hint="eastAsia" w:ascii="仿宋_GB2312" w:eastAsia="仿宋_GB2312"/>
          <w:sz w:val="32"/>
          <w:szCs w:val="32"/>
        </w:rPr>
        <w:t>2、社会保障和就业支出（类）行政事业单位养老支出（款）机关事业单位基本养老保险缴费支出（项）2023年预算数为31.80万元，比上年增加9.93万元，增长45.40%。主要是</w:t>
      </w:r>
      <w:r>
        <w:rPr>
          <w:rFonts w:hint="eastAsia" w:ascii="仿宋_GB2312" w:eastAsia="仿宋_GB2312"/>
          <w:sz w:val="32"/>
          <w:szCs w:val="32"/>
          <w:lang w:val="en-US" w:eastAsia="zh-CN"/>
        </w:rPr>
        <w:t>2023年增加新招录事业人员5人，</w:t>
      </w:r>
      <w:r>
        <w:rPr>
          <w:rFonts w:hint="eastAsia" w:ascii="仿宋_GB2312" w:eastAsia="仿宋_GB2312"/>
          <w:sz w:val="32"/>
          <w:szCs w:val="32"/>
        </w:rPr>
        <w:t>单位基本养老保险缴费</w:t>
      </w:r>
      <w:r>
        <w:rPr>
          <w:rFonts w:hint="eastAsia" w:ascii="仿宋_GB2312" w:eastAsia="仿宋_GB2312"/>
          <w:sz w:val="32"/>
          <w:szCs w:val="32"/>
          <w:lang w:val="en-US" w:eastAsia="zh-CN"/>
        </w:rPr>
        <w:t>支出增加。</w:t>
      </w:r>
    </w:p>
    <w:p>
      <w:pPr>
        <w:ind w:firstLine="645"/>
        <w:rPr>
          <w:rFonts w:hint="eastAsia" w:ascii="仿宋_GB2312" w:eastAsia="仿宋_GB2312"/>
          <w:sz w:val="32"/>
          <w:szCs w:val="32"/>
          <w:lang w:val="en-US" w:eastAsia="zh-CN"/>
        </w:rPr>
      </w:pPr>
      <w:r>
        <w:rPr>
          <w:rFonts w:hint="eastAsia" w:ascii="仿宋_GB2312" w:eastAsia="仿宋_GB2312"/>
          <w:sz w:val="32"/>
          <w:szCs w:val="32"/>
        </w:rPr>
        <w:t>3、社会保障和就业支出（类）行政事业单位养老支出（款）机关事业单位职业年金缴费支出（项）2023年预算数为15.90万元，比上年增加4.97万元，增长45.47%。主要是</w:t>
      </w:r>
      <w:r>
        <w:rPr>
          <w:rFonts w:hint="eastAsia" w:ascii="仿宋_GB2312" w:eastAsia="仿宋_GB2312"/>
          <w:sz w:val="32"/>
          <w:szCs w:val="32"/>
          <w:lang w:val="en-US" w:eastAsia="zh-CN"/>
        </w:rPr>
        <w:t>2023年增加新招录事业人员5人，</w:t>
      </w:r>
      <w:r>
        <w:rPr>
          <w:rFonts w:hint="eastAsia" w:ascii="仿宋_GB2312" w:eastAsia="仿宋_GB2312"/>
          <w:sz w:val="32"/>
          <w:szCs w:val="32"/>
        </w:rPr>
        <w:t>单位职业年金缴费</w:t>
      </w:r>
      <w:r>
        <w:rPr>
          <w:rFonts w:hint="eastAsia" w:ascii="仿宋_GB2312" w:eastAsia="仿宋_GB2312"/>
          <w:sz w:val="32"/>
          <w:szCs w:val="32"/>
          <w:lang w:val="en-US" w:eastAsia="zh-CN"/>
        </w:rPr>
        <w:t>支出增加。</w:t>
      </w:r>
    </w:p>
    <w:p>
      <w:pPr>
        <w:ind w:firstLine="645"/>
        <w:rPr>
          <w:rFonts w:ascii="仿宋_GB2312" w:eastAsia="仿宋_GB2312"/>
          <w:sz w:val="32"/>
          <w:szCs w:val="32"/>
        </w:rPr>
      </w:pPr>
      <w:r>
        <w:rPr>
          <w:rFonts w:hint="eastAsia" w:ascii="仿宋_GB2312" w:eastAsia="仿宋_GB2312"/>
          <w:sz w:val="32"/>
          <w:szCs w:val="32"/>
        </w:rPr>
        <w:t>4、社会保障和就业支出（类）行政事业单位养老支出（款）其他行政事业单位养老支出（项）2023年</w:t>
      </w:r>
      <w:r>
        <w:rPr>
          <w:rFonts w:hint="eastAsia" w:ascii="仿宋_GB2312" w:eastAsia="仿宋_GB2312"/>
          <w:color w:val="auto"/>
          <w:sz w:val="32"/>
          <w:szCs w:val="32"/>
        </w:rPr>
        <w:t>预</w:t>
      </w:r>
      <w:r>
        <w:rPr>
          <w:rFonts w:hint="eastAsia" w:ascii="仿宋_GB2312" w:eastAsia="仿宋_GB2312"/>
          <w:sz w:val="32"/>
          <w:szCs w:val="32"/>
        </w:rPr>
        <w:t>算数为21.24万元，比上年增加0.75万元，增长3.66%。主要是</w:t>
      </w:r>
      <w:r>
        <w:rPr>
          <w:rFonts w:hint="eastAsia" w:ascii="仿宋_GB2312" w:eastAsia="仿宋_GB2312"/>
          <w:sz w:val="32"/>
          <w:szCs w:val="32"/>
          <w:lang w:val="en-US" w:eastAsia="zh-CN"/>
        </w:rPr>
        <w:t>2023年增加新招录事业人员5人，并且养老基数增加。</w:t>
      </w:r>
    </w:p>
    <w:p>
      <w:pPr>
        <w:ind w:firstLine="645"/>
        <w:rPr>
          <w:rFonts w:hint="eastAsia" w:ascii="仿宋_GB2312" w:eastAsia="仿宋_GB2312"/>
          <w:sz w:val="32"/>
          <w:szCs w:val="32"/>
          <w:lang w:val="en-US" w:eastAsia="zh-CN"/>
        </w:rPr>
      </w:pPr>
      <w:r>
        <w:rPr>
          <w:rFonts w:hint="eastAsia" w:ascii="仿宋_GB2312" w:eastAsia="仿宋_GB2312"/>
          <w:sz w:val="32"/>
          <w:szCs w:val="32"/>
        </w:rPr>
        <w:t>5、社会保障和就业支出（类）其他社会保障和就业支出（款）其他社会保障和就业支出（项）2023年预算数为1.21万元，比上年增加0.10万元，增长9.01%。主要是</w:t>
      </w:r>
      <w:r>
        <w:rPr>
          <w:rFonts w:hint="eastAsia" w:ascii="仿宋_GB2312" w:eastAsia="仿宋_GB2312"/>
          <w:sz w:val="32"/>
          <w:szCs w:val="32"/>
          <w:lang w:val="en-US" w:eastAsia="zh-CN"/>
        </w:rPr>
        <w:t>2023年增加新招录事业人员5人。</w:t>
      </w:r>
    </w:p>
    <w:p>
      <w:pPr>
        <w:ind w:firstLine="645"/>
        <w:rPr>
          <w:rFonts w:hint="default" w:ascii="仿宋_GB2312" w:eastAsia="仿宋_GB2312"/>
          <w:sz w:val="32"/>
          <w:szCs w:val="32"/>
          <w:lang w:val="en-US" w:eastAsia="zh-CN"/>
        </w:rPr>
      </w:pPr>
      <w:r>
        <w:rPr>
          <w:rFonts w:hint="eastAsia" w:ascii="仿宋_GB2312" w:eastAsia="仿宋_GB2312"/>
          <w:sz w:val="32"/>
          <w:szCs w:val="32"/>
        </w:rPr>
        <w:t>6、卫生健康支出（类）行政事业单位医疗（款）行政单位医疗（项）2023年预算数为7.82万元，比上年增加0.97万元，增长14.16%。主要是</w:t>
      </w:r>
      <w:r>
        <w:rPr>
          <w:rFonts w:hint="eastAsia" w:ascii="仿宋_GB2312" w:eastAsia="仿宋_GB2312"/>
          <w:sz w:val="32"/>
          <w:szCs w:val="32"/>
          <w:lang w:val="en-US" w:eastAsia="zh-CN"/>
        </w:rPr>
        <w:t>2022年人员调入一人，人员增加。</w:t>
      </w:r>
    </w:p>
    <w:p>
      <w:pPr>
        <w:ind w:firstLine="645"/>
        <w:rPr>
          <w:rFonts w:hint="eastAsia" w:ascii="仿宋_GB2312" w:eastAsia="仿宋_GB2312"/>
          <w:sz w:val="32"/>
          <w:szCs w:val="32"/>
          <w:lang w:val="en-US" w:eastAsia="zh-CN"/>
        </w:rPr>
      </w:pPr>
      <w:r>
        <w:rPr>
          <w:rFonts w:hint="eastAsia" w:ascii="仿宋_GB2312" w:eastAsia="仿宋_GB2312"/>
          <w:sz w:val="32"/>
          <w:szCs w:val="32"/>
        </w:rPr>
        <w:t>7、卫生健康支出（类）行政事业单位医疗（款）事业单位医疗（项）2023年预算数为10.83万元，比上年增加0.70万元，增长6.91%。主要是</w:t>
      </w:r>
      <w:r>
        <w:rPr>
          <w:rFonts w:hint="eastAsia" w:ascii="仿宋_GB2312" w:eastAsia="仿宋_GB2312"/>
          <w:sz w:val="32"/>
          <w:szCs w:val="32"/>
          <w:lang w:val="en-US" w:eastAsia="zh-CN"/>
        </w:rPr>
        <w:t>2023年增加新招录事业人员5人，医疗支出增加。</w:t>
      </w:r>
    </w:p>
    <w:p>
      <w:pPr>
        <w:ind w:firstLine="645"/>
        <w:rPr>
          <w:rFonts w:ascii="仿宋_GB2312" w:eastAsia="仿宋_GB2312"/>
          <w:sz w:val="32"/>
          <w:szCs w:val="32"/>
          <w:highlight w:val="none"/>
        </w:rPr>
      </w:pPr>
      <w:r>
        <w:rPr>
          <w:rFonts w:hint="eastAsia" w:ascii="仿宋_GB2312" w:eastAsia="仿宋_GB2312"/>
          <w:sz w:val="32"/>
          <w:szCs w:val="32"/>
        </w:rPr>
        <w:t>8、卫生健康支出（类）行政事业单位医疗（款）公务员医疗补助（项）2023年预算数为15.05万元，比上年增加1.83万元，增长13.84%。主要</w:t>
      </w:r>
      <w:r>
        <w:rPr>
          <w:rFonts w:hint="eastAsia" w:ascii="仿宋_GB2312" w:eastAsia="仿宋_GB2312"/>
          <w:sz w:val="32"/>
          <w:szCs w:val="32"/>
          <w:highlight w:val="none"/>
        </w:rPr>
        <w:t>是</w:t>
      </w:r>
      <w:r>
        <w:rPr>
          <w:rFonts w:hint="eastAsia" w:ascii="仿宋_GB2312" w:eastAsia="仿宋_GB2312"/>
          <w:sz w:val="32"/>
          <w:szCs w:val="32"/>
          <w:highlight w:val="none"/>
          <w:lang w:val="en-US" w:eastAsia="zh-CN"/>
        </w:rPr>
        <w:t>社保基数增加。</w:t>
      </w:r>
    </w:p>
    <w:p>
      <w:pPr>
        <w:ind w:firstLine="645"/>
        <w:rPr>
          <w:rFonts w:ascii="仿宋_GB2312" w:eastAsia="仿宋_GB2312"/>
          <w:sz w:val="32"/>
          <w:szCs w:val="32"/>
        </w:rPr>
      </w:pPr>
      <w:r>
        <w:rPr>
          <w:rFonts w:hint="eastAsia" w:ascii="仿宋_GB2312" w:eastAsia="仿宋_GB2312"/>
          <w:sz w:val="32"/>
          <w:szCs w:val="32"/>
        </w:rPr>
        <w:t>9、住房保障支出（类）住房改革支出（款）住房公积金（项）2023年预算数为29.28万元，比上年增</w:t>
      </w:r>
      <w:bookmarkStart w:id="6" w:name="_GoBack"/>
      <w:bookmarkEnd w:id="6"/>
      <w:r>
        <w:rPr>
          <w:rFonts w:hint="eastAsia" w:ascii="仿宋_GB2312" w:eastAsia="仿宋_GB2312"/>
          <w:sz w:val="32"/>
          <w:szCs w:val="32"/>
        </w:rPr>
        <w:t>加9.42万元，增长47.43%。主要是</w:t>
      </w:r>
      <w:r>
        <w:rPr>
          <w:rFonts w:hint="eastAsia" w:ascii="仿宋_GB2312" w:eastAsia="仿宋_GB2312"/>
          <w:sz w:val="32"/>
          <w:szCs w:val="32"/>
          <w:lang w:val="en-US" w:eastAsia="zh-CN"/>
        </w:rPr>
        <w:t>2023年增加新招录事业人员5人，住房公积金支出增加</w:t>
      </w:r>
      <w:r>
        <w:rPr>
          <w:rFonts w:hint="eastAsia" w:ascii="仿宋_GB2312" w:eastAsia="仿宋_GB2312"/>
          <w:sz w:val="32"/>
          <w:szCs w:val="32"/>
        </w:rPr>
        <w:t>。</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rPr>
        <w:t>中共湟源县委党校2023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ascii="仿宋_GB2312" w:eastAsia="仿宋_GB2312"/>
          <w:sz w:val="32"/>
          <w:szCs w:val="32"/>
        </w:rPr>
      </w:pPr>
      <w:r>
        <w:rPr>
          <w:rFonts w:hint="eastAsia" w:ascii="仿宋_GB2312" w:eastAsia="仿宋_GB2312"/>
          <w:sz w:val="32"/>
          <w:szCs w:val="32"/>
        </w:rPr>
        <w:t>中共湟源县委党校2023年一般公共预算基本支出433.85万元，其中：</w:t>
      </w:r>
    </w:p>
    <w:p>
      <w:pPr>
        <w:ind w:firstLine="640" w:firstLineChars="200"/>
        <w:rPr>
          <w:rFonts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rPr>
        <w:t>418.10万元，主要包括：基本工资78.47万元、津贴补贴78.59万元、奖金10.97万元、绩效工资85.66万元、机关事业单位基本养老保险缴费31.80万元、职业年金缴费15.90万元、职工基本医疗保险缴费12.25万元、公务员医疗补助缴费15.05万元、其他社会保障缴费1.21万元、住房公积金29.28万元、其他工资福利支出31.26万元、退休费19.56万元、生活补助1.69万元、医疗费补助6.40万元；</w:t>
      </w:r>
    </w:p>
    <w:p>
      <w:pPr>
        <w:ind w:firstLine="640" w:firstLineChars="200"/>
        <w:rPr>
          <w:rFonts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rPr>
        <w:t>15.75万元，主要包括：办公费2.10万元、水费0.30万元、电费0.30万元、邮电费1.20万元、取暖费1.50万元、差旅费1.35万元、公务接待费0.45万元、工会经费3.77万元、公务用车运行维护费1.00万元、其他交通费用1.74万元、其他商品和服务支出2.04万元。</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rPr>
        <w:t>中共湟源县委党校2023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ascii="仿宋_GB2312" w:eastAsia="仿宋_GB2312"/>
          <w:sz w:val="32"/>
          <w:szCs w:val="32"/>
        </w:rPr>
      </w:pPr>
      <w:r>
        <w:rPr>
          <w:rFonts w:hint="eastAsia" w:ascii="仿宋_GB2312" w:eastAsia="仿宋_GB2312"/>
          <w:sz w:val="32"/>
          <w:szCs w:val="32"/>
        </w:rPr>
        <w:t>中共湟源县委党校2023年一般公共预算“三公”经费预算数为1.45万元，比上年增加0.06万元，其中：因公出国（境）费0.00万元，增加0.00万元；公务用车购置及运行费1.00万元，增加0.00万元；公务接待费0.45万元，增加0.06万元。2023年“三公”经费预算比上年增加主要是</w:t>
      </w:r>
      <w:r>
        <w:rPr>
          <w:rFonts w:hint="eastAsia" w:ascii="仿宋_GB2312" w:eastAsia="仿宋_GB2312"/>
          <w:sz w:val="32"/>
          <w:szCs w:val="32"/>
          <w:lang w:eastAsia="zh-CN"/>
        </w:rPr>
        <w:t>赴</w:t>
      </w:r>
      <w:r>
        <w:rPr>
          <w:rFonts w:hint="eastAsia" w:ascii="仿宋_GB2312" w:eastAsia="仿宋_GB2312"/>
          <w:sz w:val="32"/>
          <w:szCs w:val="32"/>
        </w:rPr>
        <w:t>县外培训班增加公务接待费。</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rPr>
        <w:t>中共湟源县委党校2023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ascii="仿宋_GB2312" w:eastAsia="仿宋_GB2312"/>
          <w:sz w:val="32"/>
          <w:szCs w:val="32"/>
        </w:rPr>
      </w:pPr>
      <w:r>
        <w:rPr>
          <w:rFonts w:hint="eastAsia" w:ascii="仿宋_GB2312" w:eastAsia="仿宋_GB2312"/>
          <w:sz w:val="32"/>
          <w:szCs w:val="32"/>
        </w:rPr>
        <w:t>中共湟源县委党校2023年没有使用政府性基金预算拨款安排的支出。</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2023年中共湟源县委党校机关运行经费财政拨款预算15.75万元，比</w:t>
      </w:r>
      <w:r>
        <w:rPr>
          <w:rFonts w:hint="eastAsia" w:ascii="仿宋_GB2312" w:eastAsia="仿宋_GB2312"/>
          <w:sz w:val="32"/>
          <w:szCs w:val="32"/>
        </w:rPr>
        <w:t>上</w:t>
      </w:r>
      <w:r>
        <w:rPr>
          <w:rFonts w:hint="eastAsia" w:ascii="仿宋_GB2312" w:hAnsi="仿宋" w:eastAsia="仿宋_GB2312"/>
          <w:spacing w:val="-6"/>
          <w:kern w:val="2"/>
          <w:sz w:val="32"/>
          <w:szCs w:val="32"/>
          <w:lang w:val="en-US"/>
        </w:rPr>
        <w:t>年预算增加2.62万元，增长19.95%。主要是</w:t>
      </w:r>
      <w:r>
        <w:rPr>
          <w:rFonts w:hint="eastAsia" w:ascii="仿宋_GB2312" w:eastAsia="仿宋_GB2312"/>
          <w:sz w:val="32"/>
          <w:szCs w:val="32"/>
          <w:lang w:val="en-US" w:eastAsia="zh-CN"/>
        </w:rPr>
        <w:t>2023年增加新招录事业人员，</w:t>
      </w:r>
      <w:r>
        <w:rPr>
          <w:rFonts w:hint="eastAsia" w:ascii="仿宋_GB2312" w:eastAsia="仿宋_GB2312"/>
          <w:sz w:val="32"/>
          <w:szCs w:val="32"/>
          <w:lang w:eastAsia="zh-CN"/>
        </w:rPr>
        <w:t>机关运行经费预算</w:t>
      </w:r>
      <w:r>
        <w:rPr>
          <w:rFonts w:hint="eastAsia" w:ascii="仿宋_GB2312" w:eastAsia="仿宋_GB2312"/>
          <w:sz w:val="32"/>
          <w:szCs w:val="32"/>
          <w:lang w:val="en-US" w:eastAsia="zh-CN"/>
        </w:rPr>
        <w:t>相应增加</w:t>
      </w:r>
      <w:r>
        <w:rPr>
          <w:rFonts w:hint="eastAsia" w:ascii="仿宋_GB2312" w:eastAsia="仿宋_GB2312"/>
          <w:sz w:val="32"/>
          <w:szCs w:val="32"/>
        </w:rPr>
        <w:t>。</w:t>
      </w:r>
    </w:p>
    <w:p>
      <w:pPr>
        <w:adjustRightInd w:val="0"/>
        <w:snapToGrid w:val="0"/>
        <w:spacing w:line="560" w:lineRule="exact"/>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2023年中共湟源县委党校各单位政府采购预算总额</w:t>
      </w:r>
      <w:r>
        <w:rPr>
          <w:rFonts w:hint="eastAsia" w:ascii="仿宋_GB2312" w:hAnsi="仿宋" w:eastAsia="仿宋_GB2312"/>
          <w:spacing w:val="-6"/>
          <w:kern w:val="2"/>
          <w:sz w:val="32"/>
          <w:szCs w:val="32"/>
          <w:lang w:val="en-US" w:eastAsia="zh-CN"/>
        </w:rPr>
        <w:t>3.65</w:t>
      </w:r>
      <w:r>
        <w:rPr>
          <w:rFonts w:hint="eastAsia" w:ascii="仿宋_GB2312" w:hAnsi="仿宋" w:eastAsia="仿宋_GB2312"/>
          <w:spacing w:val="-6"/>
          <w:kern w:val="2"/>
          <w:sz w:val="32"/>
          <w:szCs w:val="32"/>
          <w:lang w:val="en-US"/>
        </w:rPr>
        <w:t>万元，其中：政府采购货物预算</w:t>
      </w:r>
      <w:r>
        <w:rPr>
          <w:rFonts w:hint="eastAsia" w:ascii="仿宋_GB2312" w:hAnsi="仿宋" w:eastAsia="仿宋_GB2312"/>
          <w:spacing w:val="-6"/>
          <w:kern w:val="2"/>
          <w:sz w:val="32"/>
          <w:szCs w:val="32"/>
          <w:lang w:val="en-US" w:eastAsia="zh-CN"/>
        </w:rPr>
        <w:t>3.65</w:t>
      </w:r>
      <w:r>
        <w:rPr>
          <w:rFonts w:hint="eastAsia" w:ascii="仿宋_GB2312" w:hAnsi="仿宋" w:eastAsia="仿宋_GB2312"/>
          <w:spacing w:val="-6"/>
          <w:kern w:val="2"/>
          <w:sz w:val="32"/>
          <w:szCs w:val="32"/>
          <w:lang w:val="en-US"/>
        </w:rPr>
        <w:t>万元、政府采购工程预算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万元、政府采购服务预算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w:t>
      </w:r>
    </w:p>
    <w:p>
      <w:pPr>
        <w:adjustRightInd w:val="0"/>
        <w:snapToGrid w:val="0"/>
        <w:spacing w:line="560" w:lineRule="exact"/>
        <w:ind w:firstLine="619" w:firstLineChars="200"/>
        <w:rPr>
          <w:rFonts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截至2023年2月底，中共湟源县委党校所属各预算单位共有车辆</w:t>
      </w:r>
      <w:r>
        <w:rPr>
          <w:rFonts w:hint="eastAsia" w:ascii="仿宋_GB2312" w:hAnsi="仿宋" w:eastAsia="仿宋_GB2312"/>
          <w:spacing w:val="-6"/>
          <w:kern w:val="2"/>
          <w:sz w:val="32"/>
          <w:szCs w:val="32"/>
          <w:lang w:val="en-US" w:eastAsia="zh-CN"/>
        </w:rPr>
        <w:t>1</w:t>
      </w:r>
      <w:r>
        <w:rPr>
          <w:rFonts w:hint="eastAsia" w:ascii="仿宋_GB2312" w:hAnsi="仿宋" w:eastAsia="仿宋_GB2312"/>
          <w:spacing w:val="-6"/>
          <w:kern w:val="2"/>
          <w:sz w:val="32"/>
          <w:szCs w:val="32"/>
          <w:lang w:val="en-US"/>
        </w:rPr>
        <w:t>辆，其中，省级领导干部用车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辆、厅级领导干部用车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辆、一般公务用车</w:t>
      </w:r>
      <w:r>
        <w:rPr>
          <w:rFonts w:hint="eastAsia" w:ascii="仿宋_GB2312" w:hAnsi="仿宋" w:eastAsia="仿宋_GB2312"/>
          <w:spacing w:val="-6"/>
          <w:kern w:val="2"/>
          <w:sz w:val="32"/>
          <w:szCs w:val="32"/>
          <w:lang w:val="en-US" w:eastAsia="zh-CN"/>
        </w:rPr>
        <w:t>1</w:t>
      </w:r>
      <w:r>
        <w:rPr>
          <w:rFonts w:hint="eastAsia" w:ascii="仿宋_GB2312" w:hAnsi="仿宋" w:eastAsia="仿宋_GB2312"/>
          <w:spacing w:val="-6"/>
          <w:kern w:val="2"/>
          <w:sz w:val="32"/>
          <w:szCs w:val="32"/>
          <w:lang w:val="en-US"/>
        </w:rPr>
        <w:t>辆、一般执法执勤用车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辆、特种专业技术用车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辆、其他用车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辆。单价50万元以上通用设备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台（套），单价100万元以上专用设备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w:t>
      </w:r>
    </w:p>
    <w:p>
      <w:pPr>
        <w:adjustRightInd w:val="0"/>
        <w:snapToGrid w:val="0"/>
        <w:spacing w:line="560" w:lineRule="exact"/>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2023年中共湟源县委党校预算均实行绩效目标管理，涉及项目1个，预算金额12.00万元。</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p>
    <w:tbl>
      <w:tblPr>
        <w:tblStyle w:val="5"/>
        <w:tblW w:w="10188" w:type="dxa"/>
        <w:jc w:val="center"/>
        <w:tblLayout w:type="fixed"/>
        <w:tblCellMar>
          <w:top w:w="0" w:type="dxa"/>
          <w:left w:w="108" w:type="dxa"/>
          <w:bottom w:w="0" w:type="dxa"/>
          <w:right w:w="108" w:type="dxa"/>
        </w:tblCellMar>
      </w:tblPr>
      <w:tblGrid>
        <w:gridCol w:w="1372"/>
        <w:gridCol w:w="1056"/>
        <w:gridCol w:w="1929"/>
        <w:gridCol w:w="777"/>
        <w:gridCol w:w="734"/>
        <w:gridCol w:w="1350"/>
        <w:gridCol w:w="138"/>
        <w:gridCol w:w="852"/>
        <w:gridCol w:w="103"/>
        <w:gridCol w:w="900"/>
        <w:gridCol w:w="977"/>
      </w:tblGrid>
      <w:tr>
        <w:tblPrEx>
          <w:tblCellMar>
            <w:top w:w="0" w:type="dxa"/>
            <w:left w:w="108" w:type="dxa"/>
            <w:bottom w:w="0" w:type="dxa"/>
            <w:right w:w="108" w:type="dxa"/>
          </w:tblCellMar>
        </w:tblPrEx>
        <w:trPr>
          <w:trHeight w:val="420" w:hRule="atLeast"/>
          <w:jc w:val="center"/>
        </w:trPr>
        <w:tc>
          <w:tcPr>
            <w:tcW w:w="10188" w:type="dxa"/>
            <w:gridSpan w:val="11"/>
            <w:tcBorders>
              <w:top w:val="nil"/>
              <w:left w:val="nil"/>
              <w:bottom w:val="nil"/>
              <w:right w:val="nil"/>
            </w:tcBorders>
            <w:shd w:val="clear" w:color="auto" w:fill="auto"/>
            <w:noWrap/>
            <w:vAlign w:val="center"/>
          </w:tcPr>
          <w:p>
            <w:pPr>
              <w:widowControl/>
              <w:jc w:val="center"/>
              <w:textAlignment w:val="center"/>
              <w:rPr>
                <w:rFonts w:ascii="黑体" w:hAnsi="宋体" w:eastAsia="黑体" w:cs="黑体"/>
                <w:b/>
                <w:bCs/>
                <w:color w:val="000000"/>
                <w:sz w:val="32"/>
                <w:szCs w:val="32"/>
              </w:rPr>
            </w:pPr>
            <w:r>
              <w:rPr>
                <w:rFonts w:hint="eastAsia" w:ascii="黑体" w:hAnsi="宋体" w:eastAsia="黑体" w:cs="黑体"/>
                <w:b/>
                <w:bCs/>
                <w:color w:val="000000"/>
                <w:kern w:val="0"/>
                <w:sz w:val="32"/>
                <w:szCs w:val="32"/>
              </w:rPr>
              <w:t xml:space="preserve"> 部门预算项目支出绩效目标公开表</w:t>
            </w:r>
          </w:p>
        </w:tc>
      </w:tr>
      <w:tr>
        <w:tblPrEx>
          <w:tblCellMar>
            <w:top w:w="0" w:type="dxa"/>
            <w:left w:w="108" w:type="dxa"/>
            <w:bottom w:w="0" w:type="dxa"/>
            <w:right w:w="108" w:type="dxa"/>
          </w:tblCellMar>
        </w:tblPrEx>
        <w:trPr>
          <w:trHeight w:val="280" w:hRule="atLeast"/>
          <w:jc w:val="center"/>
        </w:trPr>
        <w:tc>
          <w:tcPr>
            <w:tcW w:w="4357" w:type="dxa"/>
            <w:gridSpan w:val="3"/>
            <w:tcBorders>
              <w:top w:val="nil"/>
              <w:left w:val="nil"/>
              <w:bottom w:val="nil"/>
              <w:right w:val="nil"/>
            </w:tcBorders>
            <w:shd w:val="clear" w:color="auto" w:fill="auto"/>
            <w:noWrap/>
            <w:vAlign w:val="center"/>
          </w:tcPr>
          <w:p>
            <w:pPr>
              <w:widowControl/>
              <w:jc w:val="left"/>
              <w:textAlignment w:val="center"/>
              <w:rPr>
                <w:rFonts w:ascii="宋体" w:hAnsi="宋体" w:cs="宋体"/>
                <w:color w:val="000000"/>
                <w:sz w:val="22"/>
                <w:szCs w:val="22"/>
              </w:rPr>
            </w:pPr>
            <w:r>
              <w:rPr>
                <w:rFonts w:ascii="宋体" w:hAnsi="宋体" w:cs="宋体"/>
                <w:color w:val="000000"/>
                <w:kern w:val="0"/>
                <w:sz w:val="22"/>
                <w:szCs w:val="22"/>
              </w:rPr>
              <w:t>预算年度：2023</w:t>
            </w:r>
          </w:p>
        </w:tc>
        <w:tc>
          <w:tcPr>
            <w:tcW w:w="777" w:type="dxa"/>
            <w:tcBorders>
              <w:top w:val="nil"/>
              <w:left w:val="nil"/>
              <w:bottom w:val="nil"/>
              <w:right w:val="nil"/>
            </w:tcBorders>
            <w:shd w:val="clear" w:color="auto" w:fill="auto"/>
            <w:vAlign w:val="center"/>
          </w:tcPr>
          <w:p>
            <w:pPr>
              <w:rPr>
                <w:rFonts w:ascii="宋体" w:hAnsi="宋体" w:cs="宋体"/>
                <w:color w:val="000000"/>
                <w:sz w:val="18"/>
                <w:szCs w:val="18"/>
              </w:rPr>
            </w:pPr>
          </w:p>
        </w:tc>
        <w:tc>
          <w:tcPr>
            <w:tcW w:w="734" w:type="dxa"/>
            <w:tcBorders>
              <w:top w:val="nil"/>
              <w:left w:val="nil"/>
              <w:bottom w:val="nil"/>
              <w:right w:val="nil"/>
            </w:tcBorders>
            <w:shd w:val="clear" w:color="auto" w:fill="auto"/>
            <w:vAlign w:val="center"/>
          </w:tcPr>
          <w:p>
            <w:pPr>
              <w:rPr>
                <w:rFonts w:ascii="宋体" w:hAnsi="宋体" w:cs="宋体"/>
                <w:color w:val="000000"/>
                <w:sz w:val="18"/>
                <w:szCs w:val="18"/>
              </w:rPr>
            </w:pPr>
          </w:p>
        </w:tc>
        <w:tc>
          <w:tcPr>
            <w:tcW w:w="1350" w:type="dxa"/>
            <w:tcBorders>
              <w:top w:val="nil"/>
              <w:left w:val="nil"/>
              <w:bottom w:val="nil"/>
              <w:right w:val="nil"/>
            </w:tcBorders>
            <w:shd w:val="clear" w:color="auto" w:fill="auto"/>
            <w:vAlign w:val="center"/>
          </w:tcPr>
          <w:p>
            <w:pPr>
              <w:rPr>
                <w:rFonts w:ascii="宋体" w:hAnsi="宋体" w:cs="宋体"/>
                <w:color w:val="000000"/>
                <w:sz w:val="18"/>
                <w:szCs w:val="18"/>
              </w:rPr>
            </w:pPr>
          </w:p>
        </w:tc>
        <w:tc>
          <w:tcPr>
            <w:tcW w:w="990" w:type="dxa"/>
            <w:gridSpan w:val="2"/>
            <w:tcBorders>
              <w:top w:val="nil"/>
              <w:left w:val="nil"/>
              <w:bottom w:val="nil"/>
              <w:right w:val="nil"/>
            </w:tcBorders>
            <w:shd w:val="clear" w:color="auto" w:fill="auto"/>
            <w:vAlign w:val="center"/>
          </w:tcPr>
          <w:p>
            <w:pPr>
              <w:rPr>
                <w:rFonts w:ascii="宋体" w:hAnsi="宋体" w:cs="宋体"/>
                <w:color w:val="000000"/>
                <w:sz w:val="18"/>
                <w:szCs w:val="18"/>
              </w:rPr>
            </w:pPr>
          </w:p>
        </w:tc>
        <w:tc>
          <w:tcPr>
            <w:tcW w:w="1980" w:type="dxa"/>
            <w:gridSpan w:val="3"/>
            <w:tcBorders>
              <w:top w:val="nil"/>
              <w:left w:val="nil"/>
              <w:bottom w:val="nil"/>
              <w:right w:val="nil"/>
            </w:tcBorders>
            <w:shd w:val="clear" w:color="auto" w:fill="auto"/>
            <w:vAlign w:val="center"/>
          </w:tcPr>
          <w:p>
            <w:pPr>
              <w:widowControl/>
              <w:jc w:val="right"/>
              <w:textAlignment w:val="center"/>
              <w:rPr>
                <w:rFonts w:ascii="宋体" w:hAnsi="宋体" w:cs="宋体"/>
                <w:color w:val="000000"/>
                <w:sz w:val="22"/>
                <w:szCs w:val="22"/>
              </w:rPr>
            </w:pPr>
            <w:r>
              <w:rPr>
                <w:rFonts w:ascii="宋体" w:hAnsi="宋体" w:cs="宋体"/>
                <w:color w:val="000000"/>
                <w:kern w:val="0"/>
                <w:sz w:val="22"/>
                <w:szCs w:val="22"/>
              </w:rPr>
              <w:t>金额单位：万元</w:t>
            </w:r>
          </w:p>
        </w:tc>
      </w:tr>
      <w:tr>
        <w:tblPrEx>
          <w:tblCellMar>
            <w:top w:w="0" w:type="dxa"/>
            <w:left w:w="108" w:type="dxa"/>
            <w:bottom w:w="0" w:type="dxa"/>
            <w:right w:w="108" w:type="dxa"/>
          </w:tblCellMar>
        </w:tblPrEx>
        <w:trPr>
          <w:trHeight w:val="280" w:hRule="atLeast"/>
          <w:jc w:val="center"/>
        </w:trPr>
        <w:tc>
          <w:tcPr>
            <w:tcW w:w="13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项目名称</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批复数</w:t>
            </w:r>
          </w:p>
        </w:tc>
        <w:tc>
          <w:tcPr>
            <w:tcW w:w="192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绩效目标</w:t>
            </w:r>
          </w:p>
        </w:tc>
        <w:tc>
          <w:tcPr>
            <w:tcW w:w="299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绩效指标</w:t>
            </w:r>
          </w:p>
        </w:tc>
        <w:tc>
          <w:tcPr>
            <w:tcW w:w="95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绩效指标性质</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绩效指标值</w:t>
            </w:r>
          </w:p>
        </w:tc>
        <w:tc>
          <w:tcPr>
            <w:tcW w:w="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绩效度量单位</w:t>
            </w:r>
          </w:p>
        </w:tc>
      </w:tr>
      <w:tr>
        <w:tblPrEx>
          <w:tblCellMar>
            <w:top w:w="0" w:type="dxa"/>
            <w:left w:w="108" w:type="dxa"/>
            <w:bottom w:w="0" w:type="dxa"/>
            <w:right w:w="108" w:type="dxa"/>
          </w:tblCellMar>
        </w:tblPrEx>
        <w:trPr>
          <w:trHeight w:val="280" w:hRule="atLeast"/>
          <w:jc w:val="center"/>
        </w:trPr>
        <w:tc>
          <w:tcPr>
            <w:tcW w:w="13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192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一级指标</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二级指标</w:t>
            </w:r>
          </w:p>
        </w:tc>
        <w:tc>
          <w:tcPr>
            <w:tcW w:w="14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三级指标</w:t>
            </w:r>
          </w:p>
        </w:tc>
        <w:tc>
          <w:tcPr>
            <w:tcW w:w="9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c>
          <w:tcPr>
            <w:tcW w:w="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r>
      <w:tr>
        <w:tblPrEx>
          <w:tblCellMar>
            <w:top w:w="0" w:type="dxa"/>
            <w:left w:w="108" w:type="dxa"/>
            <w:bottom w:w="0" w:type="dxa"/>
            <w:right w:w="108" w:type="dxa"/>
          </w:tblCellMar>
        </w:tblPrEx>
        <w:trPr>
          <w:trHeight w:val="560" w:hRule="atLeast"/>
          <w:jc w:val="center"/>
        </w:trPr>
        <w:tc>
          <w:tcPr>
            <w:tcW w:w="13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行政学校业务费</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12.00</w:t>
            </w:r>
          </w:p>
        </w:tc>
        <w:tc>
          <w:tcPr>
            <w:tcW w:w="19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 xml:space="preserve">1.确保党的路线、方针、政策能够得到及时有效的宣传 2.完成县委干部教育工作领导小组下达的全县以及其他人员的培训、轮训工作 3.承办党员干部继续教育和入党积极分子等党员干部培训的委托事项 4.推进理论创新，为县委、县政府决策提供服务 </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产出指标</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数量指标</w:t>
            </w:r>
          </w:p>
        </w:tc>
        <w:tc>
          <w:tcPr>
            <w:tcW w:w="14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举行培训班班次</w:t>
            </w:r>
          </w:p>
        </w:tc>
        <w:tc>
          <w:tcPr>
            <w:tcW w:w="9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60</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场次</w:t>
            </w:r>
          </w:p>
        </w:tc>
      </w:tr>
      <w:tr>
        <w:tblPrEx>
          <w:tblCellMar>
            <w:top w:w="0" w:type="dxa"/>
            <w:left w:w="108" w:type="dxa"/>
            <w:bottom w:w="0" w:type="dxa"/>
            <w:right w:w="108" w:type="dxa"/>
          </w:tblCellMar>
        </w:tblPrEx>
        <w:trPr>
          <w:trHeight w:val="560" w:hRule="atLeast"/>
          <w:jc w:val="center"/>
        </w:trPr>
        <w:tc>
          <w:tcPr>
            <w:tcW w:w="13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效益指标</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社会效益指标</w:t>
            </w:r>
          </w:p>
        </w:tc>
        <w:tc>
          <w:tcPr>
            <w:tcW w:w="14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培训班培训人数</w:t>
            </w:r>
          </w:p>
        </w:tc>
        <w:tc>
          <w:tcPr>
            <w:tcW w:w="9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1000</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人次</w:t>
            </w:r>
          </w:p>
        </w:tc>
      </w:tr>
      <w:tr>
        <w:tblPrEx>
          <w:tblCellMar>
            <w:top w:w="0" w:type="dxa"/>
            <w:left w:w="108" w:type="dxa"/>
            <w:bottom w:w="0" w:type="dxa"/>
            <w:right w:w="108" w:type="dxa"/>
          </w:tblCellMar>
        </w:tblPrEx>
        <w:trPr>
          <w:trHeight w:val="840" w:hRule="atLeast"/>
          <w:jc w:val="center"/>
        </w:trPr>
        <w:tc>
          <w:tcPr>
            <w:tcW w:w="13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满意度指标</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服务对象满意度指标</w:t>
            </w:r>
          </w:p>
        </w:tc>
        <w:tc>
          <w:tcPr>
            <w:tcW w:w="14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培训学员满意度</w:t>
            </w:r>
          </w:p>
        </w:tc>
        <w:tc>
          <w:tcPr>
            <w:tcW w:w="9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定性</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高中低</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bl>
    <w:p>
      <w:pPr>
        <w:ind w:firstLine="640" w:firstLineChars="200"/>
        <w:rPr>
          <w:sz w:val="32"/>
          <w:szCs w:val="32"/>
        </w:rPr>
      </w:pPr>
    </w:p>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ascii="仿宋_GB2312" w:eastAsia="仿宋_GB2312"/>
          <w:sz w:val="32"/>
          <w:szCs w:val="32"/>
        </w:rPr>
      </w:pP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其中：一般公共预算拨款收入包括财政部门经费拨款、专项收入、行政事业性收费收入、罚没收入、国有资源（资产）有偿使用收入和其他收入。</w:t>
      </w:r>
    </w:p>
    <w:p>
      <w:pPr>
        <w:ind w:firstLine="640" w:firstLineChars="200"/>
        <w:rPr>
          <w:rFonts w:ascii="宋体" w:hAnsi="宋体"/>
          <w:b/>
          <w:sz w:val="32"/>
          <w:szCs w:val="32"/>
        </w:rPr>
      </w:pPr>
      <w:r>
        <w:rPr>
          <w:rFonts w:hint="eastAsia" w:ascii="黑体" w:hAnsi="宋体" w:eastAsia="黑体"/>
          <w:color w:val="000000"/>
          <w:sz w:val="32"/>
          <w:szCs w:val="32"/>
        </w:rPr>
        <w:t>二、支出类</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（三）一般公共预算</w:t>
      </w:r>
      <w:r>
        <w:rPr>
          <w:rFonts w:ascii="仿宋_GB2312" w:hAnsi="仿宋" w:eastAsia="仿宋_GB2312"/>
          <w:b/>
          <w:spacing w:val="-6"/>
          <w:sz w:val="32"/>
          <w:szCs w:val="32"/>
        </w:rPr>
        <w:t>“三公”经费支出：</w:t>
      </w:r>
      <w:r>
        <w:rPr>
          <w:rFonts w:ascii="仿宋_GB2312" w:eastAsia="仿宋_GB2312"/>
          <w:sz w:val="32"/>
          <w:szCs w:val="32"/>
        </w:rPr>
        <w:t>指</w:t>
      </w:r>
      <w:r>
        <w:rPr>
          <w:rFonts w:hint="eastAsia" w:ascii="仿宋_GB2312" w:eastAsia="仿宋_GB2312"/>
          <w:sz w:val="32"/>
          <w:szCs w:val="32"/>
        </w:rPr>
        <w:t>一般公共预算</w:t>
      </w:r>
      <w:r>
        <w:rPr>
          <w:rFonts w:ascii="仿宋_GB2312" w:eastAsia="仿宋_GB2312"/>
          <w:sz w:val="32"/>
          <w:szCs w:val="32"/>
        </w:rPr>
        <w:t>安排的因公出国（境）费、公务用车购置及运行费和公务接待费支出。其中，因公出国（境）费是指</w:t>
      </w:r>
      <w:r>
        <w:rPr>
          <w:rFonts w:hint="eastAsia" w:ascii="仿宋_GB2312" w:eastAsia="仿宋_GB2312"/>
          <w:sz w:val="32"/>
          <w:szCs w:val="32"/>
        </w:rPr>
        <w:t>部门</w:t>
      </w:r>
      <w:r>
        <w:rPr>
          <w:rFonts w:ascii="仿宋_GB2312" w:eastAsia="仿宋_GB2312"/>
          <w:sz w:val="32"/>
          <w:szCs w:val="32"/>
        </w:rPr>
        <w:t>工作人员因公务出国（境）的往返机票费、住宿费、伙食费、培训费等支出；公务用车购置及运行费是指</w:t>
      </w:r>
      <w:r>
        <w:rPr>
          <w:rFonts w:hint="eastAsia" w:ascii="仿宋_GB2312" w:eastAsia="仿宋_GB2312"/>
          <w:sz w:val="32"/>
          <w:szCs w:val="32"/>
        </w:rPr>
        <w:t>部门</w:t>
      </w:r>
      <w:r>
        <w:rPr>
          <w:rFonts w:ascii="仿宋_GB2312" w:eastAsia="仿宋_GB2312"/>
          <w:sz w:val="32"/>
          <w:szCs w:val="32"/>
        </w:rPr>
        <w:t>购置公务用车支出及公务用车使用过程中发生的租用费、燃料费、过路过桥费、保险费等支出；公务接待费支出是指</w:t>
      </w:r>
      <w:r>
        <w:rPr>
          <w:rFonts w:hint="eastAsia" w:ascii="仿宋_GB2312" w:eastAsia="仿宋_GB2312"/>
          <w:sz w:val="32"/>
          <w:szCs w:val="32"/>
        </w:rPr>
        <w:t>部门</w:t>
      </w:r>
      <w:r>
        <w:rPr>
          <w:rFonts w:ascii="仿宋_GB2312" w:eastAsia="仿宋_GB2312"/>
          <w:sz w:val="32"/>
          <w:szCs w:val="32"/>
        </w:rPr>
        <w:t>按规定开支的各类公务接待（含外宾接待）支出。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（四）</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rPr>
        <w:t>部门</w:t>
      </w:r>
      <w:r>
        <w:rPr>
          <w:rFonts w:ascii="仿宋_GB2312" w:eastAsia="仿宋_GB2312"/>
          <w:sz w:val="32"/>
          <w:szCs w:val="32"/>
        </w:rPr>
        <w:t>（含参照公务员法管理的事业</w:t>
      </w:r>
      <w:r>
        <w:rPr>
          <w:rFonts w:hint="eastAsia" w:ascii="仿宋_GB2312" w:eastAsia="仿宋_GB2312"/>
          <w:sz w:val="32"/>
          <w:szCs w:val="32"/>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三、支出科目类</w:t>
      </w:r>
    </w:p>
    <w:p>
      <w:pPr>
        <w:ind w:firstLine="643" w:firstLineChars="200"/>
        <w:rPr>
          <w:b/>
          <w:bCs/>
        </w:rPr>
      </w:pPr>
      <w:r>
        <w:rPr>
          <w:rFonts w:hint="eastAsia" w:ascii="仿宋_GB2312" w:eastAsia="仿宋_GB2312"/>
          <w:b/>
          <w:bCs/>
          <w:sz w:val="32"/>
          <w:szCs w:val="32"/>
        </w:rPr>
        <w:t>（一）社会保障和就业支出（类）行政事业单位养老支出（款）机关事业单位基本养老保险缴费支出（项）：</w:t>
      </w:r>
      <w:r>
        <w:rPr>
          <w:rFonts w:hint="eastAsia" w:ascii="仿宋_GB2312" w:eastAsia="仿宋_GB2312"/>
          <w:sz w:val="32"/>
          <w:szCs w:val="32"/>
        </w:rPr>
        <w:t>反映机关事业单位实施养老保险制度由单位缴纳的基本养老保险费支出。</w:t>
      </w:r>
    </w:p>
    <w:p>
      <w:pPr>
        <w:ind w:firstLine="643" w:firstLineChars="200"/>
        <w:rPr>
          <w:b/>
          <w:bCs/>
        </w:rPr>
      </w:pPr>
      <w:r>
        <w:rPr>
          <w:rFonts w:hint="eastAsia" w:ascii="仿宋_GB2312" w:eastAsia="仿宋_GB2312"/>
          <w:b/>
          <w:bCs/>
          <w:sz w:val="32"/>
          <w:szCs w:val="32"/>
        </w:rPr>
        <w:t>（二）社会保障和就业支出（类）行政事业单位养老支出（款）机关事业单位职业年金缴费支出（项）</w:t>
      </w:r>
      <w:r>
        <w:rPr>
          <w:rFonts w:hint="eastAsia" w:ascii="仿宋_GB2312" w:eastAsia="仿宋_GB2312" w:cs="仿宋_GB2312"/>
          <w:b/>
          <w:bCs/>
          <w:sz w:val="32"/>
          <w:szCs w:val="32"/>
        </w:rPr>
        <w:t>：</w:t>
      </w:r>
      <w:r>
        <w:rPr>
          <w:rFonts w:hint="eastAsia" w:ascii="仿宋_GB2312" w:eastAsia="仿宋_GB2312"/>
          <w:sz w:val="32"/>
          <w:szCs w:val="32"/>
        </w:rPr>
        <w:t>反映机关事业单位实施养老保险制度由单位实际缴纳的职业年金支出。</w:t>
      </w:r>
    </w:p>
    <w:p>
      <w:pPr>
        <w:ind w:firstLine="643" w:firstLineChars="200"/>
        <w:rPr>
          <w:b/>
          <w:bCs/>
        </w:rPr>
      </w:pPr>
      <w:r>
        <w:rPr>
          <w:rFonts w:hint="eastAsia" w:ascii="仿宋_GB2312" w:eastAsia="仿宋_GB2312"/>
          <w:b/>
          <w:bCs/>
          <w:sz w:val="32"/>
          <w:szCs w:val="32"/>
        </w:rPr>
        <w:t>（三）卫生健康支出（类）行政事业单位医疗（款）行政单位医疗（项）</w:t>
      </w:r>
      <w:r>
        <w:rPr>
          <w:rFonts w:hint="eastAsia" w:ascii="仿宋_GB2312" w:eastAsia="仿宋_GB2312"/>
          <w:b/>
          <w:sz w:val="32"/>
          <w:szCs w:val="32"/>
        </w:rPr>
        <w:t>：</w:t>
      </w:r>
      <w:r>
        <w:rPr>
          <w:rFonts w:hint="eastAsia" w:ascii="仿宋_GB2312" w:eastAsia="仿宋_GB2312"/>
          <w:sz w:val="32"/>
          <w:szCs w:val="32"/>
        </w:rPr>
        <w:t>反映财政部门安排的行政单位（包括实行公务员管理的事业单位，下同）基本医疗保险缴费经费、未参加医疗保险的行政单位的公费医疗经费，按国家规定享受离休人员、红军老战士待遇人员的医疗经费。</w:t>
      </w:r>
    </w:p>
    <w:p>
      <w:pPr>
        <w:ind w:firstLine="643" w:firstLineChars="200"/>
        <w:rPr>
          <w:b/>
          <w:bCs/>
        </w:rPr>
      </w:pPr>
      <w:r>
        <w:rPr>
          <w:rFonts w:hint="eastAsia" w:ascii="仿宋_GB2312" w:eastAsia="仿宋_GB2312"/>
          <w:b/>
          <w:bCs/>
          <w:sz w:val="32"/>
          <w:szCs w:val="32"/>
        </w:rPr>
        <w:t>（四）卫生健康支出（类）行政事业单位医疗（款）事业单位医疗（项）：</w:t>
      </w:r>
      <w:r>
        <w:rPr>
          <w:rFonts w:hint="eastAsia" w:ascii="仿宋_GB2312" w:eastAsia="仿宋_GB2312"/>
          <w:sz w:val="32"/>
          <w:szCs w:val="32"/>
        </w:rPr>
        <w:t>反映财政部门安排的事业单位基本医疗保险缴费经费，未参加医疗保险的事业单位的公费医疗经费，按国家规定享受离休人员待遇的医疗经费。</w:t>
      </w:r>
    </w:p>
    <w:p>
      <w:pPr>
        <w:ind w:firstLine="643" w:firstLineChars="200"/>
        <w:rPr>
          <w:b/>
          <w:bCs/>
        </w:rPr>
      </w:pPr>
      <w:r>
        <w:rPr>
          <w:rFonts w:hint="eastAsia" w:ascii="仿宋_GB2312" w:eastAsia="仿宋_GB2312"/>
          <w:b/>
          <w:bCs/>
          <w:sz w:val="32"/>
          <w:szCs w:val="32"/>
        </w:rPr>
        <w:t>（五）卫生健康支出（类）行政事业单位医疗（款）公务员医疗补助（项）：</w:t>
      </w:r>
      <w:r>
        <w:rPr>
          <w:rFonts w:hint="eastAsia" w:ascii="仿宋_GB2312" w:eastAsia="仿宋_GB2312"/>
          <w:sz w:val="32"/>
          <w:szCs w:val="32"/>
        </w:rPr>
        <w:t>反映财政部门安排的公务员医疗补助经费。</w:t>
      </w:r>
    </w:p>
    <w:p>
      <w:pPr>
        <w:ind w:firstLine="643" w:firstLineChars="200"/>
        <w:rPr>
          <w:rFonts w:ascii="仿宋_GB2312" w:eastAsia="仿宋_GB2312"/>
          <w:b/>
          <w:bCs/>
          <w:sz w:val="32"/>
          <w:szCs w:val="32"/>
        </w:rPr>
      </w:pPr>
      <w:r>
        <w:rPr>
          <w:rFonts w:hint="eastAsia" w:ascii="仿宋_GB2312" w:eastAsia="仿宋_GB2312"/>
          <w:b/>
          <w:bCs/>
          <w:sz w:val="32"/>
          <w:szCs w:val="32"/>
        </w:rPr>
        <w:t>（六）社会保障和就业支出（类）行政事业单位养老支出（款）其他行政事业单位养老支出（项）：</w:t>
      </w:r>
      <w:r>
        <w:rPr>
          <w:rFonts w:hint="eastAsia" w:ascii="仿宋_GB2312" w:eastAsia="仿宋_GB2312"/>
          <w:sz w:val="32"/>
          <w:szCs w:val="32"/>
        </w:rPr>
        <w:t>反映除上述项目以外其他用于行政事业单位养老方面的支出。</w:t>
      </w:r>
    </w:p>
    <w:p>
      <w:pPr>
        <w:ind w:firstLine="643" w:firstLineChars="200"/>
        <w:rPr>
          <w:b/>
          <w:bCs/>
        </w:rPr>
      </w:pPr>
      <w:r>
        <w:rPr>
          <w:rFonts w:hint="eastAsia" w:ascii="仿宋_GB2312" w:eastAsia="仿宋_GB2312"/>
          <w:b/>
          <w:bCs/>
          <w:sz w:val="32"/>
          <w:szCs w:val="32"/>
        </w:rPr>
        <w:t>（七）住房保障支出（类）住房改革支出（款）住房公积金（项）：</w:t>
      </w:r>
      <w:r>
        <w:rPr>
          <w:rFonts w:hint="eastAsia" w:ascii="仿宋_GB2312" w:eastAsia="仿宋_GB2312"/>
          <w:sz w:val="32"/>
          <w:szCs w:val="32"/>
        </w:rPr>
        <w:t>反映行政事业单位按人力资源和社会保障部、财政部规定的基本工资和津贴补贴以及规定比例为职工缴纳的住房公积金。</w:t>
      </w:r>
    </w:p>
    <w:p>
      <w:pPr>
        <w:ind w:firstLine="643" w:firstLineChars="200"/>
        <w:rPr>
          <w:rFonts w:ascii="仿宋_GB2312" w:eastAsia="仿宋_GB2312"/>
          <w:sz w:val="32"/>
          <w:szCs w:val="32"/>
        </w:rPr>
      </w:pPr>
      <w:r>
        <w:rPr>
          <w:rFonts w:hint="eastAsia" w:ascii="仿宋_GB2312" w:eastAsia="仿宋_GB2312"/>
          <w:b/>
          <w:bCs/>
          <w:sz w:val="32"/>
          <w:szCs w:val="32"/>
        </w:rPr>
        <w:t>（八）社会保障和就业支出（类）其他社会保障和就业支出（款）其他社会保障和就业支出（项）：</w:t>
      </w:r>
      <w:r>
        <w:rPr>
          <w:rFonts w:hint="eastAsia" w:ascii="仿宋_GB2312" w:eastAsia="仿宋_GB2312"/>
          <w:sz w:val="32"/>
          <w:szCs w:val="32"/>
        </w:rPr>
        <w:t>反映除上述项目以外其他用于社会保障和就业方面的支出。</w:t>
      </w:r>
    </w:p>
    <w:p>
      <w:pPr>
        <w:ind w:firstLine="643" w:firstLineChars="200"/>
        <w:rPr>
          <w:rFonts w:ascii="仿宋_GB2312" w:eastAsia="仿宋_GB2312"/>
          <w:sz w:val="32"/>
          <w:szCs w:val="32"/>
        </w:rPr>
      </w:pPr>
      <w:r>
        <w:rPr>
          <w:rFonts w:hint="eastAsia" w:ascii="仿宋_GB2312" w:eastAsia="仿宋_GB2312"/>
          <w:b/>
          <w:bCs/>
          <w:sz w:val="32"/>
          <w:szCs w:val="32"/>
        </w:rPr>
        <w:t>（九）教育支出（类）进修和培训（款）干部教育（项）：</w:t>
      </w:r>
      <w:r>
        <w:rPr>
          <w:rFonts w:hint="eastAsia" w:ascii="仿宋_GB2312" w:eastAsia="仿宋_GB2312"/>
          <w:sz w:val="32"/>
          <w:szCs w:val="32"/>
        </w:rPr>
        <w:t>反映各级党校、行政学院、社会主义学院、国家会计学院的支出。包括机构运转、招聘师资、举办各类培训班的支出等。</w:t>
      </w:r>
    </w:p>
    <w:p>
      <w:pPr>
        <w:ind w:firstLine="640" w:firstLineChars="200"/>
        <w:rPr>
          <w:rFonts w:ascii="黑体" w:hAnsi="黑体" w:eastAsia="黑体"/>
          <w:sz w:val="32"/>
          <w:szCs w:val="32"/>
        </w:rPr>
      </w:pPr>
      <w:r>
        <w:rPr>
          <w:rFonts w:hint="eastAsia" w:ascii="黑体" w:hAnsi="黑体" w:eastAsia="黑体"/>
          <w:sz w:val="32"/>
          <w:szCs w:val="32"/>
        </w:rPr>
        <w:t>四、部门专业类名词</w:t>
      </w:r>
    </w:p>
    <w:p>
      <w:pPr>
        <w:ind w:firstLine="640" w:firstLineChars="200"/>
        <w:rPr>
          <w:rFonts w:ascii="仿宋_GB2312" w:eastAsia="仿宋_GB2312"/>
          <w:sz w:val="32"/>
          <w:szCs w:val="32"/>
        </w:rPr>
      </w:pPr>
      <w:r>
        <w:rPr>
          <w:rFonts w:hint="eastAsia" w:ascii="仿宋_GB2312" w:eastAsia="仿宋_GB2312"/>
          <w:sz w:val="32"/>
          <w:szCs w:val="32"/>
        </w:rPr>
        <w:t>无</w:t>
      </w:r>
    </w:p>
    <w:sectPr>
      <w:headerReference r:id="rId3" w:type="default"/>
      <w:footerReference r:id="rId4" w:type="default"/>
      <w:footerReference r:id="rId5" w:type="even"/>
      <w:pgSz w:w="11906" w:h="16838"/>
      <w:pgMar w:top="1440" w:right="1531" w:bottom="1440" w:left="153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altName w:val="宋体"/>
    <w:panose1 w:val="0201080004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小标宋">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3</w:t>
    </w:r>
    <w:r>
      <w:rPr>
        <w:rStyle w:val="7"/>
      </w:rPr>
      <w:fldChar w:fldCharType="end"/>
    </w:r>
  </w:p>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wZTlhNzU0M2RhYjI4ZTJkZWE2MzE1ZjA1OTNlN2Y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2A27"/>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45B85"/>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20CC"/>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261A"/>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0ECC"/>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5A04"/>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551E9"/>
    <w:rsid w:val="00B62CC7"/>
    <w:rsid w:val="00B6586E"/>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6C5C30"/>
    <w:rsid w:val="02AE7397"/>
    <w:rsid w:val="03174F3D"/>
    <w:rsid w:val="033D21D3"/>
    <w:rsid w:val="033F3750"/>
    <w:rsid w:val="03561F09"/>
    <w:rsid w:val="03596737"/>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4A5629"/>
    <w:rsid w:val="069A0522"/>
    <w:rsid w:val="06DB44D3"/>
    <w:rsid w:val="06E710CA"/>
    <w:rsid w:val="06EE3BED"/>
    <w:rsid w:val="06FC2DC7"/>
    <w:rsid w:val="07170AD3"/>
    <w:rsid w:val="073360BD"/>
    <w:rsid w:val="073C1416"/>
    <w:rsid w:val="07550B8D"/>
    <w:rsid w:val="075E75DE"/>
    <w:rsid w:val="07645B4A"/>
    <w:rsid w:val="076860A8"/>
    <w:rsid w:val="076D7821"/>
    <w:rsid w:val="079052BE"/>
    <w:rsid w:val="07A62D33"/>
    <w:rsid w:val="07A733F6"/>
    <w:rsid w:val="07C82CA9"/>
    <w:rsid w:val="07CD206E"/>
    <w:rsid w:val="07E35D35"/>
    <w:rsid w:val="08163548"/>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E75B3C"/>
    <w:rsid w:val="0AE95411"/>
    <w:rsid w:val="0AF344E1"/>
    <w:rsid w:val="0AFD2C6A"/>
    <w:rsid w:val="0AFD318D"/>
    <w:rsid w:val="0B9335CE"/>
    <w:rsid w:val="0BBF43C3"/>
    <w:rsid w:val="0BE718B9"/>
    <w:rsid w:val="0C1666D9"/>
    <w:rsid w:val="0C33338D"/>
    <w:rsid w:val="0C3837AD"/>
    <w:rsid w:val="0C461B4F"/>
    <w:rsid w:val="0CB620EA"/>
    <w:rsid w:val="0CBF274A"/>
    <w:rsid w:val="0CE83E39"/>
    <w:rsid w:val="0D10137A"/>
    <w:rsid w:val="0D103128"/>
    <w:rsid w:val="0D190642"/>
    <w:rsid w:val="0D1F15BD"/>
    <w:rsid w:val="0D347D03"/>
    <w:rsid w:val="0D4C7ED9"/>
    <w:rsid w:val="0DEB3F1A"/>
    <w:rsid w:val="0E193301"/>
    <w:rsid w:val="0E2447F1"/>
    <w:rsid w:val="0EB9334C"/>
    <w:rsid w:val="0EE02A09"/>
    <w:rsid w:val="0EF30338"/>
    <w:rsid w:val="0EF820C6"/>
    <w:rsid w:val="0F0C3167"/>
    <w:rsid w:val="0F1B23BF"/>
    <w:rsid w:val="0F4E7F7D"/>
    <w:rsid w:val="0F5D63CD"/>
    <w:rsid w:val="0F9D0EBF"/>
    <w:rsid w:val="0FBC2FF0"/>
    <w:rsid w:val="0FDF10D4"/>
    <w:rsid w:val="0FEB5787"/>
    <w:rsid w:val="10161C5F"/>
    <w:rsid w:val="107734BE"/>
    <w:rsid w:val="107C6D27"/>
    <w:rsid w:val="10915F18"/>
    <w:rsid w:val="10A51DDA"/>
    <w:rsid w:val="10BA54D9"/>
    <w:rsid w:val="10CA42ED"/>
    <w:rsid w:val="10D26947"/>
    <w:rsid w:val="10D60A11"/>
    <w:rsid w:val="10D91A83"/>
    <w:rsid w:val="10ED7D79"/>
    <w:rsid w:val="10F20D97"/>
    <w:rsid w:val="111C6472"/>
    <w:rsid w:val="11276C93"/>
    <w:rsid w:val="11963E18"/>
    <w:rsid w:val="11B06C88"/>
    <w:rsid w:val="11FC011F"/>
    <w:rsid w:val="12402145"/>
    <w:rsid w:val="12525F91"/>
    <w:rsid w:val="126B2BAF"/>
    <w:rsid w:val="12897E2D"/>
    <w:rsid w:val="12AD31C8"/>
    <w:rsid w:val="12B46304"/>
    <w:rsid w:val="12F232D0"/>
    <w:rsid w:val="132D60B6"/>
    <w:rsid w:val="13315BA7"/>
    <w:rsid w:val="13675B6C"/>
    <w:rsid w:val="13815343"/>
    <w:rsid w:val="138A3509"/>
    <w:rsid w:val="13936AB9"/>
    <w:rsid w:val="13983E78"/>
    <w:rsid w:val="13A10F83"/>
    <w:rsid w:val="13AB531F"/>
    <w:rsid w:val="13AF2F6F"/>
    <w:rsid w:val="14264FE0"/>
    <w:rsid w:val="142B6A9A"/>
    <w:rsid w:val="14357918"/>
    <w:rsid w:val="145C4EA5"/>
    <w:rsid w:val="14717BEF"/>
    <w:rsid w:val="14A405FA"/>
    <w:rsid w:val="14B52807"/>
    <w:rsid w:val="14C10AEB"/>
    <w:rsid w:val="14D25941"/>
    <w:rsid w:val="14E76E65"/>
    <w:rsid w:val="15080666"/>
    <w:rsid w:val="1509227B"/>
    <w:rsid w:val="15145780"/>
    <w:rsid w:val="156F29B6"/>
    <w:rsid w:val="159266A5"/>
    <w:rsid w:val="15B773A6"/>
    <w:rsid w:val="15CF16A7"/>
    <w:rsid w:val="15D346A7"/>
    <w:rsid w:val="15EA028F"/>
    <w:rsid w:val="16041DC2"/>
    <w:rsid w:val="160937DE"/>
    <w:rsid w:val="16A058AD"/>
    <w:rsid w:val="16BF796D"/>
    <w:rsid w:val="17711442"/>
    <w:rsid w:val="178D1819"/>
    <w:rsid w:val="179E54C0"/>
    <w:rsid w:val="17C84600"/>
    <w:rsid w:val="17F65611"/>
    <w:rsid w:val="17F71F10"/>
    <w:rsid w:val="182038E0"/>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165AF6"/>
    <w:rsid w:val="1A591713"/>
    <w:rsid w:val="1A915957"/>
    <w:rsid w:val="1A951111"/>
    <w:rsid w:val="1A9C424D"/>
    <w:rsid w:val="1AA71539"/>
    <w:rsid w:val="1AC35C7E"/>
    <w:rsid w:val="1AC47317"/>
    <w:rsid w:val="1B0F2F7A"/>
    <w:rsid w:val="1B1B34DD"/>
    <w:rsid w:val="1B1C0ED8"/>
    <w:rsid w:val="1B2A0D10"/>
    <w:rsid w:val="1B387E5A"/>
    <w:rsid w:val="1B8448F8"/>
    <w:rsid w:val="1BB67591"/>
    <w:rsid w:val="1BD3623E"/>
    <w:rsid w:val="1BE539D2"/>
    <w:rsid w:val="1BF15446"/>
    <w:rsid w:val="1C2D0D45"/>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6E3DD0"/>
    <w:rsid w:val="20846DB3"/>
    <w:rsid w:val="20A06C94"/>
    <w:rsid w:val="20A26336"/>
    <w:rsid w:val="20D2147C"/>
    <w:rsid w:val="20EA55E7"/>
    <w:rsid w:val="210261A6"/>
    <w:rsid w:val="210A7A37"/>
    <w:rsid w:val="21156B08"/>
    <w:rsid w:val="21785657"/>
    <w:rsid w:val="218E0668"/>
    <w:rsid w:val="21D73DBD"/>
    <w:rsid w:val="22A7378F"/>
    <w:rsid w:val="22CA56D0"/>
    <w:rsid w:val="22EE7610"/>
    <w:rsid w:val="23020B9B"/>
    <w:rsid w:val="23563407"/>
    <w:rsid w:val="2369043B"/>
    <w:rsid w:val="23D83E1C"/>
    <w:rsid w:val="23F171DD"/>
    <w:rsid w:val="24013373"/>
    <w:rsid w:val="241035B6"/>
    <w:rsid w:val="24173588"/>
    <w:rsid w:val="248400FD"/>
    <w:rsid w:val="24BB5C18"/>
    <w:rsid w:val="24D52712"/>
    <w:rsid w:val="24F744DF"/>
    <w:rsid w:val="250255F5"/>
    <w:rsid w:val="2504136D"/>
    <w:rsid w:val="25216B98"/>
    <w:rsid w:val="2522492D"/>
    <w:rsid w:val="25347FF8"/>
    <w:rsid w:val="255B3E43"/>
    <w:rsid w:val="25627E42"/>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4E7284"/>
    <w:rsid w:val="28520659"/>
    <w:rsid w:val="286A598B"/>
    <w:rsid w:val="287A36F4"/>
    <w:rsid w:val="28920A3E"/>
    <w:rsid w:val="28A8476E"/>
    <w:rsid w:val="28D86FE0"/>
    <w:rsid w:val="28EB0DF4"/>
    <w:rsid w:val="28EC45F2"/>
    <w:rsid w:val="290B498A"/>
    <w:rsid w:val="29422464"/>
    <w:rsid w:val="299965AB"/>
    <w:rsid w:val="29CB06AB"/>
    <w:rsid w:val="29DC2957"/>
    <w:rsid w:val="2A9D2EAF"/>
    <w:rsid w:val="2ADF44BC"/>
    <w:rsid w:val="2B24409F"/>
    <w:rsid w:val="2B3D7387"/>
    <w:rsid w:val="2B467F3F"/>
    <w:rsid w:val="2B681F2A"/>
    <w:rsid w:val="2BA411B4"/>
    <w:rsid w:val="2BA84A00"/>
    <w:rsid w:val="2BAA0794"/>
    <w:rsid w:val="2BAF1907"/>
    <w:rsid w:val="2BBE7D9C"/>
    <w:rsid w:val="2BD2547C"/>
    <w:rsid w:val="2C165AE7"/>
    <w:rsid w:val="2C4633EA"/>
    <w:rsid w:val="2C862667"/>
    <w:rsid w:val="2C9F2793"/>
    <w:rsid w:val="2CB82A3D"/>
    <w:rsid w:val="2CC80ED2"/>
    <w:rsid w:val="2CD812B0"/>
    <w:rsid w:val="2D007A43"/>
    <w:rsid w:val="2D0A3299"/>
    <w:rsid w:val="2D142369"/>
    <w:rsid w:val="2D1660E1"/>
    <w:rsid w:val="2D4F33A1"/>
    <w:rsid w:val="2D5F7AEE"/>
    <w:rsid w:val="2D7C1CBC"/>
    <w:rsid w:val="2D9C6C0D"/>
    <w:rsid w:val="2DCE076A"/>
    <w:rsid w:val="2DF61A6F"/>
    <w:rsid w:val="2E2A34C6"/>
    <w:rsid w:val="2E5D1AEE"/>
    <w:rsid w:val="2E7E2FE0"/>
    <w:rsid w:val="2EA944D2"/>
    <w:rsid w:val="2EBF2578"/>
    <w:rsid w:val="2EF35057"/>
    <w:rsid w:val="2F0A0548"/>
    <w:rsid w:val="2F0B32F8"/>
    <w:rsid w:val="2F511653"/>
    <w:rsid w:val="2F5C639F"/>
    <w:rsid w:val="2F666780"/>
    <w:rsid w:val="2FB13EB5"/>
    <w:rsid w:val="2FE029D7"/>
    <w:rsid w:val="30074904"/>
    <w:rsid w:val="300A1801"/>
    <w:rsid w:val="300E30A0"/>
    <w:rsid w:val="30A92DC8"/>
    <w:rsid w:val="30B15BC1"/>
    <w:rsid w:val="30E47124"/>
    <w:rsid w:val="3119625B"/>
    <w:rsid w:val="31524179"/>
    <w:rsid w:val="31741628"/>
    <w:rsid w:val="317E4255"/>
    <w:rsid w:val="318B6972"/>
    <w:rsid w:val="319121DA"/>
    <w:rsid w:val="31A041CB"/>
    <w:rsid w:val="31D16A7B"/>
    <w:rsid w:val="31EF0CAF"/>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D87059"/>
    <w:rsid w:val="39E76FAA"/>
    <w:rsid w:val="3A1C0AAF"/>
    <w:rsid w:val="3A5C534F"/>
    <w:rsid w:val="3A667F7C"/>
    <w:rsid w:val="3AC151B3"/>
    <w:rsid w:val="3AE57819"/>
    <w:rsid w:val="3AF85078"/>
    <w:rsid w:val="3B253993"/>
    <w:rsid w:val="3B2E2848"/>
    <w:rsid w:val="3B2F4FC9"/>
    <w:rsid w:val="3B626996"/>
    <w:rsid w:val="3B653D90"/>
    <w:rsid w:val="3BEE2461"/>
    <w:rsid w:val="3C292100"/>
    <w:rsid w:val="3C3E2DF0"/>
    <w:rsid w:val="3C552955"/>
    <w:rsid w:val="3C664263"/>
    <w:rsid w:val="3C667DC0"/>
    <w:rsid w:val="3C7613D4"/>
    <w:rsid w:val="3CEF6007"/>
    <w:rsid w:val="3D0A4BEF"/>
    <w:rsid w:val="3D4445A5"/>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C3694"/>
    <w:rsid w:val="3F7D3D9E"/>
    <w:rsid w:val="3F934A87"/>
    <w:rsid w:val="3F9B2476"/>
    <w:rsid w:val="3FCF2120"/>
    <w:rsid w:val="3FDD6F27"/>
    <w:rsid w:val="3FEA0D08"/>
    <w:rsid w:val="402971CE"/>
    <w:rsid w:val="402B55A8"/>
    <w:rsid w:val="403F5BFA"/>
    <w:rsid w:val="4047615A"/>
    <w:rsid w:val="40583EC3"/>
    <w:rsid w:val="40C44457"/>
    <w:rsid w:val="40D519B8"/>
    <w:rsid w:val="40DE086C"/>
    <w:rsid w:val="40E81285"/>
    <w:rsid w:val="419A2DBD"/>
    <w:rsid w:val="41E2613A"/>
    <w:rsid w:val="42445FBE"/>
    <w:rsid w:val="42650575"/>
    <w:rsid w:val="42700A46"/>
    <w:rsid w:val="4281555E"/>
    <w:rsid w:val="42930BD6"/>
    <w:rsid w:val="43000F6E"/>
    <w:rsid w:val="430B346F"/>
    <w:rsid w:val="43140575"/>
    <w:rsid w:val="43210EE4"/>
    <w:rsid w:val="432A62D3"/>
    <w:rsid w:val="433C5D1E"/>
    <w:rsid w:val="4350530C"/>
    <w:rsid w:val="43BB4117"/>
    <w:rsid w:val="43C27FD1"/>
    <w:rsid w:val="43D67F21"/>
    <w:rsid w:val="440A59E9"/>
    <w:rsid w:val="44412933"/>
    <w:rsid w:val="445D5F4C"/>
    <w:rsid w:val="446A2417"/>
    <w:rsid w:val="44703ED1"/>
    <w:rsid w:val="44B32010"/>
    <w:rsid w:val="44D04970"/>
    <w:rsid w:val="44EF1C2A"/>
    <w:rsid w:val="456311BE"/>
    <w:rsid w:val="45857508"/>
    <w:rsid w:val="45A100BA"/>
    <w:rsid w:val="45C00171"/>
    <w:rsid w:val="45C54E48"/>
    <w:rsid w:val="45D1274E"/>
    <w:rsid w:val="45E16FF2"/>
    <w:rsid w:val="45E216A1"/>
    <w:rsid w:val="46933EA7"/>
    <w:rsid w:val="469F0913"/>
    <w:rsid w:val="46AC58E1"/>
    <w:rsid w:val="4723522B"/>
    <w:rsid w:val="47411B55"/>
    <w:rsid w:val="4760647F"/>
    <w:rsid w:val="47CB42B8"/>
    <w:rsid w:val="47F210A1"/>
    <w:rsid w:val="47F41D83"/>
    <w:rsid w:val="48226D7F"/>
    <w:rsid w:val="482C45B3"/>
    <w:rsid w:val="483E7E42"/>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7178A9"/>
    <w:rsid w:val="4D8C0AFD"/>
    <w:rsid w:val="4DA62712"/>
    <w:rsid w:val="4DDD4434"/>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A82C45"/>
    <w:rsid w:val="50CF01D2"/>
    <w:rsid w:val="50CF1F80"/>
    <w:rsid w:val="50D46B08"/>
    <w:rsid w:val="50DF4F22"/>
    <w:rsid w:val="50FA629D"/>
    <w:rsid w:val="511646DB"/>
    <w:rsid w:val="513F7105"/>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35B1F07"/>
    <w:rsid w:val="5382152B"/>
    <w:rsid w:val="53B316E5"/>
    <w:rsid w:val="53C75190"/>
    <w:rsid w:val="54446A80"/>
    <w:rsid w:val="54622056"/>
    <w:rsid w:val="54776BB6"/>
    <w:rsid w:val="548457F1"/>
    <w:rsid w:val="549F0B68"/>
    <w:rsid w:val="54AB5BF1"/>
    <w:rsid w:val="54AB6860"/>
    <w:rsid w:val="550A7A2A"/>
    <w:rsid w:val="550F5041"/>
    <w:rsid w:val="55472A2C"/>
    <w:rsid w:val="554C0043"/>
    <w:rsid w:val="55546EF7"/>
    <w:rsid w:val="55CC0ABE"/>
    <w:rsid w:val="5606196D"/>
    <w:rsid w:val="56494582"/>
    <w:rsid w:val="566B0279"/>
    <w:rsid w:val="568775D5"/>
    <w:rsid w:val="568E4899"/>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4D4389"/>
    <w:rsid w:val="595A2228"/>
    <w:rsid w:val="59B461B6"/>
    <w:rsid w:val="59D80245"/>
    <w:rsid w:val="5A032C9A"/>
    <w:rsid w:val="5A3A10D3"/>
    <w:rsid w:val="5A6373D1"/>
    <w:rsid w:val="5A84657D"/>
    <w:rsid w:val="5AAF7962"/>
    <w:rsid w:val="5AB000F4"/>
    <w:rsid w:val="5ABD033C"/>
    <w:rsid w:val="5B57504B"/>
    <w:rsid w:val="5B793B29"/>
    <w:rsid w:val="5B8449DB"/>
    <w:rsid w:val="5B9B13DC"/>
    <w:rsid w:val="5BB64468"/>
    <w:rsid w:val="5BCD22B6"/>
    <w:rsid w:val="5BD41FC1"/>
    <w:rsid w:val="5BF907F8"/>
    <w:rsid w:val="5C237623"/>
    <w:rsid w:val="5CAC7619"/>
    <w:rsid w:val="5CB169DD"/>
    <w:rsid w:val="5D096819"/>
    <w:rsid w:val="5D135E9A"/>
    <w:rsid w:val="5D4F5F4A"/>
    <w:rsid w:val="5DB9023F"/>
    <w:rsid w:val="5DCD5A99"/>
    <w:rsid w:val="5DD82F19"/>
    <w:rsid w:val="5DEC4171"/>
    <w:rsid w:val="5E180F16"/>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3D3504"/>
    <w:rsid w:val="657C4DAA"/>
    <w:rsid w:val="65842EE1"/>
    <w:rsid w:val="65965345"/>
    <w:rsid w:val="65A6554D"/>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93D1D24"/>
    <w:rsid w:val="694806C9"/>
    <w:rsid w:val="69DA187A"/>
    <w:rsid w:val="69E228CC"/>
    <w:rsid w:val="6A102F95"/>
    <w:rsid w:val="6A1E49EE"/>
    <w:rsid w:val="6A1F58CE"/>
    <w:rsid w:val="6A386990"/>
    <w:rsid w:val="6A517800"/>
    <w:rsid w:val="6A733988"/>
    <w:rsid w:val="6A80346D"/>
    <w:rsid w:val="6A84252C"/>
    <w:rsid w:val="6B2667E8"/>
    <w:rsid w:val="6B2E7D36"/>
    <w:rsid w:val="6B317667"/>
    <w:rsid w:val="6B39651C"/>
    <w:rsid w:val="6B454EC0"/>
    <w:rsid w:val="6B4A697B"/>
    <w:rsid w:val="6B511AB7"/>
    <w:rsid w:val="6B8A321B"/>
    <w:rsid w:val="6BBF1117"/>
    <w:rsid w:val="6BC930E6"/>
    <w:rsid w:val="6BD808EE"/>
    <w:rsid w:val="6BF60B14"/>
    <w:rsid w:val="6C142268"/>
    <w:rsid w:val="6C182A5D"/>
    <w:rsid w:val="6C3C4515"/>
    <w:rsid w:val="6C3F3D03"/>
    <w:rsid w:val="6C45090D"/>
    <w:rsid w:val="6C783074"/>
    <w:rsid w:val="6C906CD0"/>
    <w:rsid w:val="6C9F2F49"/>
    <w:rsid w:val="6CCC34A0"/>
    <w:rsid w:val="6CD01102"/>
    <w:rsid w:val="6CD81D64"/>
    <w:rsid w:val="6CEB1A97"/>
    <w:rsid w:val="6CF070AE"/>
    <w:rsid w:val="6D056FFD"/>
    <w:rsid w:val="6D140FEE"/>
    <w:rsid w:val="6D1C7EA3"/>
    <w:rsid w:val="6D3715F0"/>
    <w:rsid w:val="6D45284C"/>
    <w:rsid w:val="6D610768"/>
    <w:rsid w:val="6DEF510F"/>
    <w:rsid w:val="6E0049EA"/>
    <w:rsid w:val="6E205AC9"/>
    <w:rsid w:val="6E2711F5"/>
    <w:rsid w:val="6E6765D2"/>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4033B6B"/>
    <w:rsid w:val="741527AA"/>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FD6F97"/>
    <w:rsid w:val="770F2826"/>
    <w:rsid w:val="77381D7D"/>
    <w:rsid w:val="773A3199"/>
    <w:rsid w:val="77510F5D"/>
    <w:rsid w:val="776B2153"/>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EF9732C"/>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批注框文本 Char"/>
    <w:link w:val="2"/>
    <w:semiHidden/>
    <w:qFormat/>
    <w:uiPriority w:val="99"/>
    <w:rPr>
      <w:rFonts w:ascii="Times New Roman" w:hAnsi="Times New Roman"/>
      <w:kern w:val="2"/>
      <w:sz w:val="18"/>
      <w:szCs w:val="18"/>
    </w:rPr>
  </w:style>
  <w:style w:type="character" w:customStyle="1" w:styleId="9">
    <w:name w:val="页脚 Char"/>
    <w:link w:val="3"/>
    <w:qFormat/>
    <w:uiPriority w:val="99"/>
    <w:rPr>
      <w:rFonts w:ascii="Times New Roman" w:hAnsi="Times New Roman"/>
      <w:kern w:val="2"/>
      <w:sz w:val="18"/>
      <w:szCs w:val="18"/>
    </w:rPr>
  </w:style>
  <w:style w:type="character" w:customStyle="1" w:styleId="10">
    <w:name w:val="页眉 Char"/>
    <w:link w:val="4"/>
    <w:qFormat/>
    <w:uiPriority w:val="99"/>
    <w:rPr>
      <w:rFonts w:ascii="Times New Roman" w:hAnsi="Times New Roman"/>
      <w:kern w:val="2"/>
      <w:sz w:val="18"/>
      <w:szCs w:val="18"/>
    </w:rPr>
  </w:style>
  <w:style w:type="paragraph" w:styleId="11">
    <w:name w:val="List Paragraph"/>
    <w:basedOn w:val="1"/>
    <w:qFormat/>
    <w:uiPriority w:val="34"/>
    <w:pPr>
      <w:ind w:firstLine="420" w:firstLineChars="200"/>
    </w:pPr>
  </w:style>
  <w:style w:type="paragraph" w:styleId="12">
    <w:name w:val="No Spacing"/>
    <w:link w:val="13"/>
    <w:qFormat/>
    <w:uiPriority w:val="0"/>
    <w:rPr>
      <w:rFonts w:ascii="Calibri" w:hAnsi="Calibri" w:eastAsia="宋体" w:cs="Times New Roman"/>
      <w:sz w:val="22"/>
      <w:szCs w:val="22"/>
      <w:lang w:val="en-US" w:eastAsia="zh-CN" w:bidi="ar-SA"/>
    </w:rPr>
  </w:style>
  <w:style w:type="character" w:customStyle="1" w:styleId="13">
    <w:name w:val="无间隔 Char"/>
    <w:link w:val="12"/>
    <w:qFormat/>
    <w:uiPriority w:val="0"/>
    <w:rPr>
      <w:sz w:val="22"/>
      <w:szCs w:val="22"/>
      <w:lang w:bidi="ar-SA"/>
    </w:rPr>
  </w:style>
  <w:style w:type="paragraph" w:customStyle="1" w:styleId="14">
    <w:name w:val="正文1"/>
    <w:basedOn w:val="1"/>
    <w:qFormat/>
    <w:uiPriority w:val="0"/>
    <w:pPr>
      <w:widowControl/>
    </w:pPr>
    <w:rPr>
      <w:rFonts w:eastAsia="Times New Roman"/>
      <w:kern w:val="0"/>
      <w:lang w:val="zh-CN"/>
    </w:rPr>
  </w:style>
  <w:style w:type="character" w:customStyle="1" w:styleId="15">
    <w:name w:val="font3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23</Pages>
  <Words>6737</Words>
  <Characters>8151</Characters>
  <Lines>65</Lines>
  <Paragraphs>18</Paragraphs>
  <TotalTime>0</TotalTime>
  <ScaleCrop>false</ScaleCrop>
  <LinksUpToDate>false</LinksUpToDate>
  <CharactersWithSpaces>8256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2023-06-05T07:55:00Z</dcterms:created>
  <dc:creator>王炜(部门内部人)</dc:creator>
  <cp:lastModifiedBy>大琹</cp:lastModifiedBy>
  <cp:lastPrinted>2021-01-31T19:43:00Z</cp:lastPrinted>
  <dcterms:modified xsi:type="dcterms:W3CDTF">2023-06-08T08:20:32Z</dcterms:modified>
  <dc:title>×××部门</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28A8F95C0A1B44408B0355C6857C0AE4_13</vt:lpwstr>
  </property>
</Properties>
</file>