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ign w:val="center"/>
          </w:tcPr>
          <w:p>
            <w:pPr>
              <w:pStyle w:val="12"/>
              <w:jc w:val="center"/>
              <w:rPr>
                <w:rFonts w:ascii="Cambria" w:hAnsi="Cambria"/>
                <w:b/>
                <w:sz w:val="80"/>
                <w:szCs w:val="80"/>
              </w:rPr>
            </w:pPr>
            <w:r>
              <w:rPr>
                <w:rFonts w:hint="eastAsia" w:ascii="Cambria" w:hAnsi="Cambria"/>
                <w:b/>
                <w:sz w:val="80"/>
                <w:szCs w:val="80"/>
              </w:rPr>
              <w:t>中共湟源县委党校</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第三部分 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第四部分 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中共湟源县委党校是在县委直接领导下培养党员领导干部和理论干部的学校，是县委的一个重要部门，是研究宣传马列主义中国化的理论成果，毛泽东思想、邓小平理论、“三个代表”重要思想、科学发展观、习近平新时代中国特色社会主义思想，宣传党的路线、方针、政策和国家法律、法规。同时，围绕党的中心任务积极开展党员干部培训、社会科学研究和资政议政等工作，积极有效服务于全县发展大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其基本职责是：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（一）轮训副科级以下党员领导干部；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（二）培训中青年党员领导干部；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（三）培训意识形态部门的领导干部和理论骨干；</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（四）协同组织人事部门，对学员在校期间进行考核考察；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（五）围绕国内外出现的新情况、新问题以及我县的热点难点问题开展调查研究，为县委、县政府决策提供参考;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（六）研究宣传马列主义中国化的理论成果，毛泽东思想、邓小平理论、“三个代表”重要思想、科学发展观、习近平新时代中国特色社会主义思想，宣传党的路线、方针、政策和国家法律、法规。</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黑体" w:hAnsi="宋体" w:eastAsia="黑体"/>
          <w:color w:val="000000"/>
          <w:sz w:val="32"/>
          <w:szCs w:val="32"/>
        </w:rPr>
      </w:pPr>
      <w:r>
        <w:rPr>
          <w:rFonts w:hint="eastAsia" w:ascii="黑体" w:hAnsi="宋体" w:eastAsia="黑体"/>
          <w:color w:val="000000"/>
          <w:sz w:val="32"/>
          <w:szCs w:val="32"/>
        </w:rPr>
        <w:t>二、机构设置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根据《中共湟源县委</w:t>
      </w:r>
      <w:r>
        <w:rPr>
          <w:rFonts w:hint="eastAsia" w:ascii="仿宋_GB2312" w:eastAsia="仿宋_GB2312"/>
          <w:color w:val="000000"/>
          <w:sz w:val="32"/>
          <w:szCs w:val="32"/>
          <w:lang w:eastAsia="zh-CN"/>
        </w:rPr>
        <w:t>机构编制委员会关于中共湟源县委党校（挂湟源县行政学校牌子）机构编制事项</w:t>
      </w:r>
      <w:r>
        <w:rPr>
          <w:rFonts w:hint="eastAsia" w:ascii="仿宋_GB2312" w:eastAsia="仿宋_GB2312"/>
          <w:color w:val="000000"/>
          <w:sz w:val="32"/>
          <w:szCs w:val="32"/>
        </w:rPr>
        <w:t>的通知》(</w:t>
      </w:r>
      <w:r>
        <w:rPr>
          <w:rFonts w:hint="eastAsia" w:ascii="仿宋_GB2312" w:eastAsia="仿宋_GB2312"/>
          <w:color w:val="000000"/>
          <w:sz w:val="32"/>
          <w:szCs w:val="32"/>
          <w:lang w:eastAsia="zh-CN"/>
        </w:rPr>
        <w:t>湟源编委发</w:t>
      </w:r>
      <w:r>
        <w:rPr>
          <w:rFonts w:hint="eastAsia" w:ascii="仿宋_GB2312" w:eastAsia="仿宋_GB2312"/>
          <w:color w:val="000000"/>
          <w:sz w:val="32"/>
          <w:szCs w:val="32"/>
        </w:rPr>
        <w:t>〔2019〕</w:t>
      </w:r>
      <w:r>
        <w:rPr>
          <w:rFonts w:hint="eastAsia" w:ascii="仿宋_GB2312" w:eastAsia="仿宋_GB2312"/>
          <w:color w:val="000000"/>
          <w:sz w:val="32"/>
          <w:szCs w:val="32"/>
          <w:lang w:val="en-US" w:eastAsia="zh-CN"/>
        </w:rPr>
        <w:t>56</w:t>
      </w:r>
      <w:r>
        <w:rPr>
          <w:rFonts w:hint="eastAsia" w:ascii="仿宋_GB2312" w:eastAsia="仿宋_GB2312"/>
          <w:color w:val="000000"/>
          <w:sz w:val="32"/>
          <w:szCs w:val="32"/>
        </w:rPr>
        <w:t>号)文，</w:t>
      </w:r>
      <w:r>
        <w:rPr>
          <w:rFonts w:hint="eastAsia" w:ascii="仿宋_GB2312" w:eastAsia="仿宋_GB2312"/>
          <w:color w:val="000000"/>
          <w:sz w:val="32"/>
          <w:szCs w:val="32"/>
          <w:lang w:eastAsia="zh-CN"/>
        </w:rPr>
        <w:t>中共湟源县委党校（挂湟源县行政学校牌子）为中共湟源县委管理的公益一类事业单位，机构规格为正科级，经费形式为全额拨款。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黑体" w:hAnsi="宋体" w:eastAsia="黑体"/>
          <w:color w:val="000000"/>
          <w:sz w:val="32"/>
          <w:szCs w:val="32"/>
        </w:rPr>
      </w:pPr>
      <w:r>
        <w:rPr>
          <w:rFonts w:hint="eastAsia" w:ascii="黑体" w:hAnsi="宋体" w:eastAsia="黑体"/>
          <w:color w:val="000000"/>
          <w:sz w:val="32"/>
          <w:szCs w:val="32"/>
        </w:rPr>
        <w:t>三、部门预算部门构成</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纳入</w:t>
      </w:r>
      <w:r>
        <w:rPr>
          <w:rFonts w:hint="eastAsia" w:ascii="仿宋_GB2312" w:eastAsia="仿宋_GB2312"/>
          <w:color w:val="000000"/>
          <w:sz w:val="32"/>
          <w:szCs w:val="32"/>
          <w:lang w:eastAsia="zh-CN"/>
        </w:rPr>
        <w:t>中共湟源县委党校</w:t>
      </w:r>
      <w:r>
        <w:rPr>
          <w:rFonts w:hint="eastAsia" w:ascii="仿宋_GB2312" w:eastAsia="仿宋_GB2312"/>
          <w:color w:val="000000"/>
          <w:sz w:val="32"/>
          <w:szCs w:val="32"/>
          <w:lang w:val="en-US" w:eastAsia="zh-CN"/>
        </w:rPr>
        <w:t>2023</w:t>
      </w:r>
      <w:r>
        <w:rPr>
          <w:rFonts w:hint="eastAsia" w:ascii="仿宋_GB2312" w:eastAsia="仿宋_GB2312"/>
          <w:color w:val="000000"/>
          <w:sz w:val="32"/>
          <w:szCs w:val="32"/>
        </w:rPr>
        <w:t>年部门预算编制范围的二级预算单位</w:t>
      </w:r>
      <w:r>
        <w:rPr>
          <w:rFonts w:hint="eastAsia" w:ascii="仿宋_GB2312" w:eastAsia="仿宋_GB2312"/>
          <w:color w:val="000000"/>
          <w:sz w:val="32"/>
          <w:szCs w:val="32"/>
          <w:lang w:val="en-US" w:eastAsia="zh-CN"/>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noWrap/>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tcPr>
          <w:p>
            <w:pPr>
              <w:jc w:val="center"/>
              <w:rPr>
                <w:rFonts w:ascii="仿宋_GB2312" w:eastAsia="仿宋_GB2312"/>
                <w:sz w:val="32"/>
                <w:szCs w:val="32"/>
              </w:rPr>
            </w:pPr>
            <w:r>
              <w:rPr>
                <w:rFonts w:hint="eastAsia" w:ascii="仿宋_GB2312" w:eastAsia="仿宋_GB2312"/>
                <w:sz w:val="32"/>
                <w:szCs w:val="32"/>
              </w:rPr>
              <w:t>1</w:t>
            </w:r>
          </w:p>
        </w:tc>
        <w:tc>
          <w:tcPr>
            <w:tcW w:w="6328" w:type="dxa"/>
            <w:noWra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445.85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312.71</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70.16</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33.70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29.28</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445.85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445.85</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445.85</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445.85</w:t>
            </w:r>
          </w:p>
        </w:tc>
      </w:tr>
    </w:tbl>
    <w:p>
      <w:pPr>
        <w:rPr>
          <w:rFonts w:hint="eastAsia" w:ascii="仿宋_GB2312" w:eastAsia="仿宋_GB2312"/>
          <w:sz w:val="32"/>
          <w:szCs w:val="32"/>
        </w:rPr>
      </w:pPr>
    </w:p>
    <w:p>
      <w:pPr>
        <w:rPr>
          <w:rFonts w:hint="eastAsia" w:ascii="仿宋_GB2312" w:eastAsia="仿宋_GB2312"/>
          <w:sz w:val="32"/>
          <w:szCs w:val="32"/>
        </w:rPr>
      </w:pPr>
    </w:p>
    <w:p>
      <w:pPr>
        <w:rPr>
          <w:rFonts w:ascii="仿宋_GB2312" w:eastAsia="仿宋_GB2312"/>
          <w:sz w:val="32"/>
          <w:szCs w:val="32"/>
        </w:rPr>
      </w:pPr>
    </w:p>
    <w:tbl>
      <w:tblPr>
        <w:tblStyle w:val="5"/>
        <w:tblpPr w:leftFromText="180" w:rightFromText="180" w:vertAnchor="text" w:horzAnchor="page" w:tblpXSpec="center" w:tblpY="618"/>
        <w:tblOverlap w:val="never"/>
        <w:tblW w:w="11426" w:type="dxa"/>
        <w:jc w:val="center"/>
        <w:tblLayout w:type="fixed"/>
        <w:tblCellMar>
          <w:top w:w="0" w:type="dxa"/>
          <w:left w:w="108" w:type="dxa"/>
          <w:bottom w:w="0" w:type="dxa"/>
          <w:right w:w="108" w:type="dxa"/>
        </w:tblCellMar>
      </w:tblPr>
      <w:tblGrid>
        <w:gridCol w:w="1056"/>
        <w:gridCol w:w="995"/>
        <w:gridCol w:w="1083"/>
        <w:gridCol w:w="1084"/>
        <w:gridCol w:w="914"/>
        <w:gridCol w:w="914"/>
        <w:gridCol w:w="914"/>
        <w:gridCol w:w="914"/>
        <w:gridCol w:w="914"/>
        <w:gridCol w:w="914"/>
        <w:gridCol w:w="914"/>
        <w:gridCol w:w="810"/>
      </w:tblGrid>
      <w:tr>
        <w:tblPrEx>
          <w:tblCellMar>
            <w:top w:w="0" w:type="dxa"/>
            <w:left w:w="108" w:type="dxa"/>
            <w:bottom w:w="0" w:type="dxa"/>
            <w:right w:w="108" w:type="dxa"/>
          </w:tblCellMar>
        </w:tblPrEx>
        <w:trPr>
          <w:trHeight w:val="392" w:hRule="atLeast"/>
          <w:jc w:val="center"/>
        </w:trPr>
        <w:tc>
          <w:tcPr>
            <w:tcW w:w="11426"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26"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26" w:type="dxa"/>
            <w:gridSpan w:val="12"/>
            <w:tcBorders>
              <w:top w:val="nil"/>
              <w:left w:val="nil"/>
              <w:bottom w:val="single" w:color="auto" w:sz="4" w:space="0"/>
              <w:right w:val="nil"/>
            </w:tcBorders>
            <w:noWrap/>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5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8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84"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中共湟源县委党校</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5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中共湟源县委党校（本级）</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10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10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445.85</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81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442" w:type="dxa"/>
        <w:jc w:val="center"/>
        <w:tblLayout w:type="fixed"/>
        <w:tblCellMar>
          <w:top w:w="0" w:type="dxa"/>
          <w:left w:w="108" w:type="dxa"/>
          <w:bottom w:w="0" w:type="dxa"/>
          <w:right w:w="108" w:type="dxa"/>
        </w:tblCellMar>
      </w:tblPr>
      <w:tblGrid>
        <w:gridCol w:w="1100"/>
        <w:gridCol w:w="3800"/>
        <w:gridCol w:w="1090"/>
        <w:gridCol w:w="1090"/>
        <w:gridCol w:w="1090"/>
        <w:gridCol w:w="1090"/>
        <w:gridCol w:w="1090"/>
        <w:gridCol w:w="1092"/>
      </w:tblGrid>
      <w:tr>
        <w:tblPrEx>
          <w:tblCellMar>
            <w:top w:w="0" w:type="dxa"/>
            <w:left w:w="108" w:type="dxa"/>
            <w:bottom w:w="0" w:type="dxa"/>
            <w:right w:w="108" w:type="dxa"/>
          </w:tblCellMar>
        </w:tblPrEx>
        <w:trPr>
          <w:trHeight w:val="187" w:hRule="atLeast"/>
          <w:jc w:val="center"/>
        </w:trPr>
        <w:tc>
          <w:tcPr>
            <w:tcW w:w="11442"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42"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42"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490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445.85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433.85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教育支出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20508</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进修和培训</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2050802</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干部教育</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312.71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300.71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81"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70.16</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70.16</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68.95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68.95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31.80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21.24</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33.70</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7.82</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10.83</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10.83</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15.05</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38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29.28</w:t>
            </w: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109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1066"/>
        <w:gridCol w:w="2025"/>
        <w:gridCol w:w="1181"/>
        <w:gridCol w:w="1053"/>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nil"/>
              <w:right w:val="nil"/>
            </w:tcBorders>
            <w:noWrap/>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8"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458"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12"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446"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6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02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1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5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8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6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6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312.71</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312.71</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70.16</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70.16</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66" w:type="dxa"/>
            <w:shd w:val="clear" w:color="auto" w:fill="FFFFFF"/>
            <w:noWrap/>
            <w:vAlign w:val="center"/>
          </w:tcPr>
          <w:p>
            <w:pPr>
              <w:widowControl/>
              <w:jc w:val="center"/>
              <w:rPr>
                <w:rFonts w:ascii="宋体" w:hAnsi="宋体" w:cs="宋体"/>
                <w:kern w:val="0"/>
                <w:sz w:val="20"/>
              </w:rPr>
            </w:pPr>
          </w:p>
        </w:tc>
        <w:tc>
          <w:tcPr>
            <w:tcW w:w="2025" w:type="dxa"/>
            <w:shd w:val="clear" w:color="auto" w:fill="FFFFFF"/>
            <w:noWrap/>
            <w:vAlign w:val="center"/>
          </w:tcPr>
          <w:p>
            <w:pPr>
              <w:widowControl/>
              <w:jc w:val="left"/>
              <w:rPr>
                <w:rFonts w:ascii="宋体" w:hAnsi="宋体" w:cs="宋体"/>
                <w:kern w:val="0"/>
                <w:sz w:val="20"/>
              </w:rPr>
            </w:pPr>
          </w:p>
        </w:tc>
        <w:tc>
          <w:tcPr>
            <w:tcW w:w="1181" w:type="dxa"/>
            <w:shd w:val="clear" w:color="auto" w:fill="FFFFFF"/>
            <w:noWrap/>
            <w:vAlign w:val="center"/>
          </w:tcPr>
          <w:p>
            <w:pPr>
              <w:widowControl/>
              <w:jc w:val="center"/>
              <w:rPr>
                <w:rFonts w:ascii="宋体" w:hAnsi="宋体" w:cs="宋体"/>
                <w:kern w:val="0"/>
                <w:sz w:val="20"/>
              </w:rPr>
            </w:pPr>
          </w:p>
        </w:tc>
        <w:tc>
          <w:tcPr>
            <w:tcW w:w="1053" w:type="dxa"/>
            <w:shd w:val="clear" w:color="auto" w:fill="FFFFFF"/>
            <w:noWrap/>
            <w:vAlign w:val="center"/>
          </w:tcPr>
          <w:p>
            <w:pPr>
              <w:widowControl/>
              <w:jc w:val="center"/>
              <w:rPr>
                <w:rFonts w:ascii="宋体" w:hAnsi="宋体" w:cs="宋体"/>
                <w:kern w:val="0"/>
                <w:sz w:val="20"/>
              </w:rPr>
            </w:pPr>
          </w:p>
        </w:tc>
        <w:tc>
          <w:tcPr>
            <w:tcW w:w="1187"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46"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66"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202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18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1053"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1187"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598"/>
        <w:gridCol w:w="1454"/>
        <w:gridCol w:w="1454"/>
        <w:gridCol w:w="1454"/>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84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3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59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4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4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45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59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145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847"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445.85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433.85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205</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教育支出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312.71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08</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进修和培训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312.71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干部教育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312.71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300.71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70.16</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70.16</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68.95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68.95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31.80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31.80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15.90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15.90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21.24</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21.24</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33.70</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7.82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7.82</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10.83</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10.83</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15.05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15.05</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59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29.28</w:t>
            </w:r>
          </w:p>
        </w:tc>
        <w:tc>
          <w:tcPr>
            <w:tcW w:w="1454"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3415"/>
        <w:gridCol w:w="2176"/>
        <w:gridCol w:w="2176"/>
        <w:gridCol w:w="2178"/>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71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653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341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1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1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17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341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7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c>
          <w:tcPr>
            <w:tcW w:w="2178"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715" w:type="dxa"/>
            <w:gridSpan w:val="3"/>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433.85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418.10</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15.75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390.45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390.45</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78.47</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78.47</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78.59</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78.59</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10.97</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10.97</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85.66</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85.66</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31.80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31.80</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15.90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15.90</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12.25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12.25</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15.05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15.05</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29.28</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29.28</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31.26</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31.26</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15.75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15.75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0.30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1.20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1.50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1.35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0.45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0.45</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3.77</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3.77</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1.74</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1.74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2.04</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2.04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27.65</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27.65</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19.56</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19.56</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3415"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6.40</w:t>
            </w:r>
          </w:p>
        </w:tc>
        <w:tc>
          <w:tcPr>
            <w:tcW w:w="2176"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r>
              <w:rPr>
                <w:rFonts w:hint="eastAsia" w:ascii="宋体" w:hAnsi="宋体" w:cs="宋体"/>
                <w:kern w:val="0"/>
                <w:sz w:val="18"/>
                <w:szCs w:val="18"/>
              </w:rPr>
              <w:t>6.40</w:t>
            </w:r>
          </w:p>
        </w:tc>
        <w:tc>
          <w:tcPr>
            <w:tcW w:w="2178" w:type="dxa"/>
            <w:tcBorders>
              <w:top w:val="single" w:color="auto" w:sz="4" w:space="0"/>
              <w:left w:val="single" w:color="auto" w:sz="4" w:space="0"/>
              <w:bottom w:val="single" w:color="auto" w:sz="4" w:space="0"/>
              <w:right w:val="single" w:color="auto" w:sz="4" w:space="0"/>
            </w:tcBorders>
            <w:shd w:val="clear" w:color="000000" w:fill="FFFFFF"/>
            <w:noWrap/>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F62"/>
            <w:bookmarkEnd w:id="2"/>
            <w:bookmarkStart w:id="3" w:name="RANGE!A1:G6"/>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vMerge w:val="continue"/>
            <w:noWrap/>
            <w:vAlign w:val="center"/>
          </w:tcPr>
          <w:p>
            <w:pPr>
              <w:widowControl/>
              <w:jc w:val="left"/>
              <w:rPr>
                <w:rFonts w:ascii="宋体" w:hAnsi="宋体" w:cs="宋体"/>
                <w:b/>
                <w:bCs/>
                <w:color w:val="000000"/>
                <w:kern w:val="0"/>
                <w:sz w:val="22"/>
                <w:szCs w:val="22"/>
              </w:rPr>
            </w:pP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0.39</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972"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0.45</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一、关于中共湟源县委党校2023年部门收支预算情况的总体说明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中共湟源县委党校所有收入和支出均纳入部门预算管理。收入包括：一般公共预算拨款收入445.85万元；支出包括：教育支出312.71万元，社会保障和就业支出70.16万元，卫生健康支出33.70万元，住房保障支出29.28万元。中共湟源县委党校2023年收支总预算445.85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二、关于中共湟源县委党校2023年部门收入预算情况说明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中共湟源县委党校2023年收入预算445.85万元，其中：一般公共预算拨款收入445.85万元，占100.00%。</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529455" cy="2084070"/>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4529455" cy="208407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三、关于中共湟源县委党校2023年部门支出预算情况说明</w:t>
      </w:r>
    </w:p>
    <w:p>
      <w:pPr>
        <w:ind w:firstLine="645"/>
        <w:rPr>
          <w:rFonts w:ascii="仿宋_GB2312" w:eastAsia="仿宋_GB2312"/>
          <w:sz w:val="32"/>
          <w:szCs w:val="32"/>
        </w:rPr>
      </w:pPr>
      <w:r>
        <w:rPr>
          <w:rFonts w:hint="eastAsia" w:ascii="仿宋_GB2312" w:eastAsia="仿宋_GB2312"/>
          <w:sz w:val="32"/>
          <w:szCs w:val="32"/>
        </w:rPr>
        <w:t>中共湟源县委党校2023年支出预算445.85万元，其中：基本支出433.85万元，占97.31%；项目支出12.00万元，占2.69%。</w:t>
      </w:r>
    </w:p>
    <w:p>
      <w:pPr>
        <w:ind w:firstLine="645"/>
        <w:rPr>
          <w:rFonts w:ascii="仿宋_GB2312" w:eastAsia="仿宋_GB2312"/>
          <w:sz w:val="32"/>
          <w:szCs w:val="32"/>
        </w:rPr>
      </w:pPr>
      <w:r>
        <w:rPr>
          <w:rFonts w:ascii="仿宋_GB2312" w:eastAsia="仿宋_GB2312"/>
          <w:sz w:val="32"/>
          <w:szCs w:val="32"/>
        </w:rPr>
        <w:drawing>
          <wp:inline distT="0" distB="0" distL="0" distR="0">
            <wp:extent cx="4486910" cy="206248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srcRect/>
                    <a:stretch>
                      <a:fillRect/>
                    </a:stretch>
                  </pic:blipFill>
                  <pic:spPr>
                    <a:xfrm>
                      <a:off x="0" y="0"/>
                      <a:ext cx="4486910" cy="2062480"/>
                    </a:xfrm>
                    <a:prstGeom prst="rect">
                      <a:avLst/>
                    </a:prstGeom>
                    <a:noFill/>
                    <a:ln w="9525">
                      <a:noFill/>
                      <a:miter lim="800000"/>
                      <a:headEnd/>
                      <a:tailEnd/>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四、关于中共湟源县委党校2023年财政拨款收支预算情况的总体说明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中共湟源县委党校2023年财政拨款收支总预算445.85万元，比上年增加23.87万元，主要是</w:t>
      </w:r>
      <w:r>
        <w:rPr>
          <w:rFonts w:hint="eastAsia" w:ascii="仿宋_GB2312" w:eastAsia="仿宋_GB2312"/>
          <w:sz w:val="32"/>
          <w:szCs w:val="32"/>
          <w:lang w:val="en-US" w:eastAsia="zh-CN"/>
        </w:rPr>
        <w:t>2023年增加新招录事业人员5人，工资、养老、医疗、住房公积金等相应增加</w:t>
      </w:r>
      <w:r>
        <w:rPr>
          <w:rFonts w:hint="eastAsia" w:ascii="仿宋_GB2312" w:eastAsia="仿宋_GB2312"/>
          <w:sz w:val="32"/>
          <w:szCs w:val="32"/>
        </w:rPr>
        <w:t>。收入包括：一般公共预算拨款收入445.85万元，上年结转0.00万元；政府性基金预算拨款收入0.00万元，上年结转0.00万元。支出包括： 教育支出312.71万元， 社会保障和就业支出70.16万元， 卫生健康支出33.70万元， 住房保障支出29.28万元。</w:t>
      </w:r>
    </w:p>
    <w:p>
      <w:pPr>
        <w:ind w:firstLine="645"/>
        <w:rPr>
          <w:rFonts w:ascii="仿宋_GB2312" w:eastAsia="仿宋_GB2312"/>
          <w:sz w:val="32"/>
          <w:szCs w:val="32"/>
        </w:rPr>
      </w:pPr>
      <w:r>
        <w:rPr>
          <w:rFonts w:ascii="仿宋_GB2312" w:eastAsia="仿宋_GB2312"/>
          <w:sz w:val="32"/>
          <w:szCs w:val="32"/>
        </w:rPr>
        <w:drawing>
          <wp:inline distT="0" distB="0" distL="0" distR="0">
            <wp:extent cx="4529455" cy="208407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srcRect/>
                    <a:stretch>
                      <a:fillRect/>
                    </a:stretch>
                  </pic:blipFill>
                  <pic:spPr>
                    <a:xfrm>
                      <a:off x="0" y="0"/>
                      <a:ext cx="4529455" cy="2084070"/>
                    </a:xfrm>
                    <a:prstGeom prst="rect">
                      <a:avLst/>
                    </a:prstGeom>
                    <a:noFill/>
                    <a:ln w="9525">
                      <a:noFill/>
                      <a:miter lim="800000"/>
                      <a:headEnd/>
                      <a:tailEnd/>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五、关于中共湟源县委党校2023年一般公共预算当年拨款情况说明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rPr>
      </w:pPr>
      <w:r>
        <w:rPr>
          <w:rFonts w:hint="eastAsia" w:ascii="仿宋_GB2312" w:eastAsia="仿宋_GB2312"/>
          <w:sz w:val="32"/>
          <w:szCs w:val="32"/>
        </w:rPr>
        <w:t>中共湟源县委党校2023年一般公共预算当年拨款445.85万元,比上年增加23.87万元，主要是</w:t>
      </w:r>
      <w:r>
        <w:rPr>
          <w:rFonts w:hint="eastAsia" w:ascii="仿宋_GB2312" w:eastAsia="仿宋_GB2312"/>
          <w:sz w:val="32"/>
          <w:szCs w:val="32"/>
          <w:lang w:val="en-US" w:eastAsia="zh-CN"/>
        </w:rPr>
        <w:t>2023年增加新招录事业人员5人，工资、养老、医疗、住房公积金等相应增加</w:t>
      </w:r>
      <w:r>
        <w:rPr>
          <w:rFonts w:hint="eastAsia" w:ascii="仿宋_GB2312" w:eastAsia="仿宋_GB2312"/>
          <w:iCs/>
          <w:sz w:val="32"/>
          <w:szCs w:val="32"/>
        </w:rPr>
        <w:t>。</w:t>
      </w:r>
    </w:p>
    <w:p>
      <w:pPr>
        <w:ind w:firstLine="645"/>
        <w:rPr>
          <w:rFonts w:ascii="仿宋_GB2312" w:eastAsia="仿宋_GB2312"/>
          <w:iCs/>
          <w:sz w:val="32"/>
          <w:szCs w:val="32"/>
        </w:rPr>
      </w:pPr>
      <w:r>
        <w:rPr>
          <w:rFonts w:ascii="仿宋_GB2312" w:eastAsia="仿宋_GB2312"/>
          <w:iCs/>
          <w:sz w:val="32"/>
          <w:szCs w:val="32"/>
        </w:rPr>
        <w:drawing>
          <wp:inline distT="0" distB="0" distL="0" distR="0">
            <wp:extent cx="4380865" cy="14992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srcRect/>
                    <a:stretch>
                      <a:fillRect/>
                    </a:stretch>
                  </pic:blipFill>
                  <pic:spPr>
                    <a:xfrm>
                      <a:off x="0" y="0"/>
                      <a:ext cx="4380865" cy="149923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教育支出312.71万元，占70.14%；社会保障和就业支出70.16万元，占15.74%；卫生健康支出33.70万元，占7.56%；住房保障支出29.28万元，占6.57%。</w:t>
      </w:r>
    </w:p>
    <w:p>
      <w:pPr>
        <w:ind w:firstLine="645"/>
        <w:rPr>
          <w:rFonts w:ascii="仿宋_GB2312" w:eastAsia="仿宋_GB2312"/>
          <w:sz w:val="32"/>
          <w:szCs w:val="32"/>
        </w:rPr>
      </w:pPr>
      <w:r>
        <w:rPr>
          <w:rFonts w:ascii="仿宋_GB2312" w:eastAsia="仿宋_GB2312"/>
          <w:sz w:val="32"/>
          <w:szCs w:val="32"/>
        </w:rPr>
        <w:drawing>
          <wp:inline distT="0" distB="0" distL="0" distR="0">
            <wp:extent cx="4391025" cy="201993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srcRect/>
                    <a:stretch>
                      <a:fillRect/>
                    </a:stretch>
                  </pic:blipFill>
                  <pic:spPr>
                    <a:xfrm>
                      <a:off x="0" y="0"/>
                      <a:ext cx="4391025" cy="2019935"/>
                    </a:xfrm>
                    <a:prstGeom prst="rect">
                      <a:avLst/>
                    </a:prstGeom>
                    <a:noFill/>
                    <a:ln w="9525">
                      <a:noFill/>
                      <a:miter lim="800000"/>
                      <a:headEnd/>
                      <a:tailEnd/>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ascii="仿宋_GB2312" w:eastAsia="仿宋_GB2312"/>
          <w:sz w:val="32"/>
          <w:szCs w:val="32"/>
        </w:rPr>
      </w:pPr>
      <w:r>
        <w:rPr>
          <w:rFonts w:hint="eastAsia" w:ascii="仿宋_GB2312" w:eastAsia="仿宋_GB2312"/>
          <w:sz w:val="32"/>
          <w:szCs w:val="32"/>
        </w:rPr>
        <w:t>1、教育支出（类）进修和培训（款）干部教育（项）2023年预算数为312.71万元，比上年减少4.81万元，下降1.51%。主要是强化党校基础设施建设项目减少。</w:t>
      </w:r>
    </w:p>
    <w:p>
      <w:pPr>
        <w:ind w:firstLine="645"/>
        <w:rPr>
          <w:rFonts w:hint="eastAsia" w:ascii="仿宋_GB2312" w:eastAsia="仿宋_GB2312"/>
          <w:sz w:val="32"/>
          <w:szCs w:val="32"/>
          <w:lang w:val="en-US" w:eastAsia="zh-CN"/>
        </w:rPr>
      </w:pPr>
      <w:r>
        <w:rPr>
          <w:rFonts w:hint="eastAsia" w:ascii="仿宋_GB2312" w:eastAsia="仿宋_GB2312"/>
          <w:sz w:val="32"/>
          <w:szCs w:val="32"/>
        </w:rPr>
        <w:t>2、社会保障和就业支出（类）行政事业单位养老支出（款）机关事业单位基本养老保险缴费支出（项）2023年预算数为31.80万元，比上年增加9.93万元，增长45.40%。主要是</w:t>
      </w:r>
      <w:r>
        <w:rPr>
          <w:rFonts w:hint="eastAsia" w:ascii="仿宋_GB2312" w:eastAsia="仿宋_GB2312"/>
          <w:sz w:val="32"/>
          <w:szCs w:val="32"/>
          <w:lang w:val="en-US" w:eastAsia="zh-CN"/>
        </w:rPr>
        <w:t>2023年增加新招录事业人员5人，</w:t>
      </w:r>
      <w:r>
        <w:rPr>
          <w:rFonts w:hint="eastAsia" w:ascii="仿宋_GB2312" w:eastAsia="仿宋_GB2312"/>
          <w:sz w:val="32"/>
          <w:szCs w:val="32"/>
        </w:rPr>
        <w:t>单位基本养老保险缴费</w:t>
      </w:r>
      <w:r>
        <w:rPr>
          <w:rFonts w:hint="eastAsia" w:ascii="仿宋_GB2312" w:eastAsia="仿宋_GB2312"/>
          <w:sz w:val="32"/>
          <w:szCs w:val="32"/>
          <w:lang w:val="en-US" w:eastAsia="zh-CN"/>
        </w:rPr>
        <w:t>支出增加。</w:t>
      </w:r>
    </w:p>
    <w:p>
      <w:pPr>
        <w:ind w:firstLine="645"/>
        <w:rPr>
          <w:rFonts w:hint="eastAsia" w:ascii="仿宋_GB2312" w:eastAsia="仿宋_GB2312"/>
          <w:sz w:val="32"/>
          <w:szCs w:val="32"/>
          <w:lang w:val="en-US" w:eastAsia="zh-CN"/>
        </w:rPr>
      </w:pPr>
      <w:r>
        <w:rPr>
          <w:rFonts w:hint="eastAsia" w:ascii="仿宋_GB2312" w:eastAsia="仿宋_GB2312"/>
          <w:sz w:val="32"/>
          <w:szCs w:val="32"/>
        </w:rPr>
        <w:t>3、社会保障和就业支出（类）行政事业单位养老支出（款）机关事业单位职业年金缴费支出（项）2023年预算数为15.90万元，比上年增加4.97万元，增长45.47%。主要是</w:t>
      </w:r>
      <w:r>
        <w:rPr>
          <w:rFonts w:hint="eastAsia" w:ascii="仿宋_GB2312" w:eastAsia="仿宋_GB2312"/>
          <w:sz w:val="32"/>
          <w:szCs w:val="32"/>
          <w:lang w:val="en-US" w:eastAsia="zh-CN"/>
        </w:rPr>
        <w:t>2023年增加新招录事业人员5人，</w:t>
      </w:r>
      <w:r>
        <w:rPr>
          <w:rFonts w:hint="eastAsia" w:ascii="仿宋_GB2312" w:eastAsia="仿宋_GB2312"/>
          <w:sz w:val="32"/>
          <w:szCs w:val="32"/>
        </w:rPr>
        <w:t>单位职业年金缴费</w:t>
      </w:r>
      <w:r>
        <w:rPr>
          <w:rFonts w:hint="eastAsia" w:ascii="仿宋_GB2312" w:eastAsia="仿宋_GB2312"/>
          <w:sz w:val="32"/>
          <w:szCs w:val="32"/>
          <w:lang w:val="en-US" w:eastAsia="zh-CN"/>
        </w:rPr>
        <w:t>支出增加。</w:t>
      </w:r>
    </w:p>
    <w:p>
      <w:pPr>
        <w:ind w:firstLine="645"/>
        <w:rPr>
          <w:rFonts w:ascii="仿宋_GB2312" w:eastAsia="仿宋_GB2312"/>
          <w:sz w:val="32"/>
          <w:szCs w:val="32"/>
        </w:rPr>
      </w:pPr>
      <w:r>
        <w:rPr>
          <w:rFonts w:hint="eastAsia" w:ascii="仿宋_GB2312" w:eastAsia="仿宋_GB2312"/>
          <w:sz w:val="32"/>
          <w:szCs w:val="32"/>
        </w:rPr>
        <w:t>4、社会保障和就业支出（类）行政事业单位养老支出（款）其他行政事业单位养老支出（项）2023年</w:t>
      </w:r>
      <w:r>
        <w:rPr>
          <w:rFonts w:hint="eastAsia" w:ascii="仿宋_GB2312" w:eastAsia="仿宋_GB2312"/>
          <w:color w:val="auto"/>
          <w:sz w:val="32"/>
          <w:szCs w:val="32"/>
        </w:rPr>
        <w:t>预</w:t>
      </w:r>
      <w:r>
        <w:rPr>
          <w:rFonts w:hint="eastAsia" w:ascii="仿宋_GB2312" w:eastAsia="仿宋_GB2312"/>
          <w:sz w:val="32"/>
          <w:szCs w:val="32"/>
        </w:rPr>
        <w:t>算数为21.24万元，比上年增加0.75万元，增长3.66%。主要是</w:t>
      </w:r>
      <w:r>
        <w:rPr>
          <w:rFonts w:hint="eastAsia" w:ascii="仿宋_GB2312" w:eastAsia="仿宋_GB2312"/>
          <w:sz w:val="32"/>
          <w:szCs w:val="32"/>
          <w:lang w:val="en-US" w:eastAsia="zh-CN"/>
        </w:rPr>
        <w:t>2023年增加新招录事业人员5人，并且养老基数增加。</w:t>
      </w:r>
    </w:p>
    <w:p>
      <w:pPr>
        <w:ind w:firstLine="645"/>
        <w:rPr>
          <w:rFonts w:hint="eastAsia" w:ascii="仿宋_GB2312" w:eastAsia="仿宋_GB2312"/>
          <w:sz w:val="32"/>
          <w:szCs w:val="32"/>
          <w:lang w:val="en-US" w:eastAsia="zh-CN"/>
        </w:rPr>
      </w:pPr>
      <w:r>
        <w:rPr>
          <w:rFonts w:hint="eastAsia" w:ascii="仿宋_GB2312" w:eastAsia="仿宋_GB2312"/>
          <w:sz w:val="32"/>
          <w:szCs w:val="32"/>
        </w:rPr>
        <w:t>5、社会保障和就业支出（类）其他社会保障和就业支出（款）其他社会保障和就业支出（项）2023年预算数为1.21万元，比上年增加0.10万元，增长9.01%。主要是</w:t>
      </w:r>
      <w:r>
        <w:rPr>
          <w:rFonts w:hint="eastAsia" w:ascii="仿宋_GB2312" w:eastAsia="仿宋_GB2312"/>
          <w:sz w:val="32"/>
          <w:szCs w:val="32"/>
          <w:lang w:val="en-US" w:eastAsia="zh-CN"/>
        </w:rPr>
        <w:t>2023年增加新招录事业人员5人。</w:t>
      </w:r>
    </w:p>
    <w:p>
      <w:pPr>
        <w:ind w:firstLine="645"/>
        <w:rPr>
          <w:rFonts w:hint="default" w:ascii="仿宋_GB2312" w:eastAsia="仿宋_GB2312"/>
          <w:sz w:val="32"/>
          <w:szCs w:val="32"/>
          <w:lang w:val="en-US" w:eastAsia="zh-CN"/>
        </w:rPr>
      </w:pPr>
      <w:r>
        <w:rPr>
          <w:rFonts w:hint="eastAsia" w:ascii="仿宋_GB2312" w:eastAsia="仿宋_GB2312"/>
          <w:sz w:val="32"/>
          <w:szCs w:val="32"/>
        </w:rPr>
        <w:t>6、卫生健康支出（类）行政事业单位医疗（款）行政单位医疗（项）2023年预算数为7.82万元，比上年增加0.97万元，增长14.16%。主要是</w:t>
      </w:r>
      <w:r>
        <w:rPr>
          <w:rFonts w:hint="eastAsia" w:ascii="仿宋_GB2312" w:eastAsia="仿宋_GB2312"/>
          <w:sz w:val="32"/>
          <w:szCs w:val="32"/>
          <w:lang w:val="en-US" w:eastAsia="zh-CN"/>
        </w:rPr>
        <w:t>2022年人员调入一人，人员增加。</w:t>
      </w:r>
    </w:p>
    <w:p>
      <w:pPr>
        <w:ind w:firstLine="645"/>
        <w:rPr>
          <w:rFonts w:hint="eastAsia" w:ascii="仿宋_GB2312" w:eastAsia="仿宋_GB2312"/>
          <w:sz w:val="32"/>
          <w:szCs w:val="32"/>
          <w:lang w:val="en-US" w:eastAsia="zh-CN"/>
        </w:rPr>
      </w:pPr>
      <w:r>
        <w:rPr>
          <w:rFonts w:hint="eastAsia" w:ascii="仿宋_GB2312" w:eastAsia="仿宋_GB2312"/>
          <w:sz w:val="32"/>
          <w:szCs w:val="32"/>
        </w:rPr>
        <w:t>7、卫生健康支出（类）行政事业单位医疗（款）事业单位医疗（项）2023年预算数为10.83万元，比上年增加0.70万元，增长6.91%。主要是</w:t>
      </w:r>
      <w:r>
        <w:rPr>
          <w:rFonts w:hint="eastAsia" w:ascii="仿宋_GB2312" w:eastAsia="仿宋_GB2312"/>
          <w:sz w:val="32"/>
          <w:szCs w:val="32"/>
          <w:lang w:val="en-US" w:eastAsia="zh-CN"/>
        </w:rPr>
        <w:t>2023年增加新招录事业人员5人，医疗支出增加。</w:t>
      </w:r>
    </w:p>
    <w:p>
      <w:pPr>
        <w:ind w:firstLine="645"/>
        <w:rPr>
          <w:rFonts w:ascii="仿宋_GB2312" w:eastAsia="仿宋_GB2312"/>
          <w:sz w:val="32"/>
          <w:szCs w:val="32"/>
          <w:highlight w:val="none"/>
        </w:rPr>
      </w:pPr>
      <w:r>
        <w:rPr>
          <w:rFonts w:hint="eastAsia" w:ascii="仿宋_GB2312" w:eastAsia="仿宋_GB2312"/>
          <w:sz w:val="32"/>
          <w:szCs w:val="32"/>
        </w:rPr>
        <w:t>8、卫生健康支出（类）行政事业单位医疗（款）公务员医疗补助（项）2023年预算数为15.05万元，比上年增加1.83万元，增长13.84%。主要</w:t>
      </w:r>
      <w:r>
        <w:rPr>
          <w:rFonts w:hint="eastAsia" w:ascii="仿宋_GB2312" w:eastAsia="仿宋_GB2312"/>
          <w:sz w:val="32"/>
          <w:szCs w:val="32"/>
          <w:highlight w:val="none"/>
        </w:rPr>
        <w:t>是</w:t>
      </w:r>
      <w:r>
        <w:rPr>
          <w:rFonts w:hint="eastAsia" w:ascii="仿宋_GB2312" w:eastAsia="仿宋_GB2312"/>
          <w:sz w:val="32"/>
          <w:szCs w:val="32"/>
          <w:highlight w:val="none"/>
          <w:lang w:val="en-US" w:eastAsia="zh-CN"/>
        </w:rPr>
        <w:t>社保基数增加。</w:t>
      </w:r>
    </w:p>
    <w:p>
      <w:pPr>
        <w:ind w:firstLine="645"/>
        <w:rPr>
          <w:rFonts w:ascii="仿宋_GB2312" w:eastAsia="仿宋_GB2312"/>
          <w:sz w:val="32"/>
          <w:szCs w:val="32"/>
        </w:rPr>
      </w:pPr>
      <w:r>
        <w:rPr>
          <w:rFonts w:hint="eastAsia" w:ascii="仿宋_GB2312" w:eastAsia="仿宋_GB2312"/>
          <w:sz w:val="32"/>
          <w:szCs w:val="32"/>
        </w:rPr>
        <w:t>9、住房保障支出（类）住房改革支出（款）住房公积金（项）2023年预算数为29.28万元，比上年增</w:t>
      </w:r>
      <w:bookmarkStart w:id="6" w:name="_GoBack"/>
      <w:bookmarkEnd w:id="6"/>
      <w:r>
        <w:rPr>
          <w:rFonts w:hint="eastAsia" w:ascii="仿宋_GB2312" w:eastAsia="仿宋_GB2312"/>
          <w:sz w:val="32"/>
          <w:szCs w:val="32"/>
        </w:rPr>
        <w:t>加9.42万元，增长47.43%。主要是</w:t>
      </w:r>
      <w:r>
        <w:rPr>
          <w:rFonts w:hint="eastAsia" w:ascii="仿宋_GB2312" w:eastAsia="仿宋_GB2312"/>
          <w:sz w:val="32"/>
          <w:szCs w:val="32"/>
          <w:lang w:val="en-US" w:eastAsia="zh-CN"/>
        </w:rPr>
        <w:t>2023年增加新招录事业人员5人，住房公积金支出增加</w:t>
      </w:r>
      <w:r>
        <w:rPr>
          <w:rFonts w:hint="eastAsia"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中共湟源县委党校2023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中共湟源县委党校2023年一般公共预算基本支出433.85万元，其中：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418.10万元，主要包括：基本工资78.47万元、津贴补贴78.59万元、奖金10.97万元、绩效工资85.66万元、机关事业单位基本养老保险缴费31.80万元、职业年金缴费15.90万元、职工基本医疗保险缴费12.25万元、公务员医疗补助缴费15.05万元、其他社会保障缴费1.21万元、住房公积金29.28万元、其他工资福利支出31.26万元、退休费19.56万元、生活补助1.69万元、医疗费补助6.40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15.75万元，主要包括：办公费2.10万元、水费0.30万元、电费0.30万元、邮电费1.20万元、取暖费1.50万元、差旅费1.35万元、公务接待费0.45万元、工会经费3.77万元、公务用车运行维护费1.00万元、其他交通费用1.74万元、其他商品和服务支出2.04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中共湟源县委党校2023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ascii="仿宋_GB2312" w:eastAsia="仿宋_GB2312"/>
          <w:sz w:val="32"/>
          <w:szCs w:val="32"/>
        </w:rPr>
      </w:pPr>
      <w:r>
        <w:rPr>
          <w:rFonts w:hint="eastAsia" w:ascii="仿宋_GB2312" w:eastAsia="仿宋_GB2312"/>
          <w:sz w:val="32"/>
          <w:szCs w:val="32"/>
        </w:rPr>
        <w:t>中共湟源县委党校2023年一般公共预算“三公”经费预算数为1.45万元，比上年增加0.06万元，其中：因公出国（境）费0.00万元，增加0.00万元；公务用车购置及运行费1.00万元，增加0.00万元；公务接待费0.45万元，增加0.06万元。2023年“三公”经费预算比上年增加主要是</w:t>
      </w:r>
      <w:r>
        <w:rPr>
          <w:rFonts w:hint="eastAsia" w:ascii="仿宋_GB2312" w:eastAsia="仿宋_GB2312"/>
          <w:sz w:val="32"/>
          <w:szCs w:val="32"/>
          <w:lang w:eastAsia="zh-CN"/>
        </w:rPr>
        <w:t>赴</w:t>
      </w:r>
      <w:r>
        <w:rPr>
          <w:rFonts w:hint="eastAsia" w:ascii="仿宋_GB2312" w:eastAsia="仿宋_GB2312"/>
          <w:sz w:val="32"/>
          <w:szCs w:val="32"/>
        </w:rPr>
        <w:t>县外培训班增加公务接待费。</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中共湟源县委党校2023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中共湟源县委党校2023年没有使用政府性基金预算拨款安排的支出。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2023年中共湟源县委党校机关运行经费财政拨款预算15.75万元，比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年预算增加2.62万元，增长19.95%。主要是</w:t>
      </w:r>
      <w:r>
        <w:rPr>
          <w:rFonts w:hint="eastAsia" w:ascii="仿宋_GB2312" w:eastAsia="仿宋_GB2312"/>
          <w:sz w:val="32"/>
          <w:szCs w:val="32"/>
          <w:lang w:val="en-US" w:eastAsia="zh-CN"/>
        </w:rPr>
        <w:t>2023年增加新招录事业人员，</w:t>
      </w:r>
      <w:r>
        <w:rPr>
          <w:rFonts w:hint="eastAsia" w:ascii="仿宋_GB2312" w:eastAsia="仿宋_GB2312"/>
          <w:sz w:val="32"/>
          <w:szCs w:val="32"/>
          <w:lang w:eastAsia="zh-CN"/>
        </w:rPr>
        <w:t>机关运行经费预算</w:t>
      </w:r>
      <w:r>
        <w:rPr>
          <w:rFonts w:hint="eastAsia" w:ascii="仿宋_GB2312" w:eastAsia="仿宋_GB2312"/>
          <w:sz w:val="32"/>
          <w:szCs w:val="32"/>
          <w:lang w:val="en-US" w:eastAsia="zh-CN"/>
        </w:rPr>
        <w:t>相应增加</w:t>
      </w:r>
      <w:r>
        <w:rPr>
          <w:rFonts w:hint="eastAsia" w:ascii="仿宋_GB2312" w:eastAsia="仿宋_GB2312"/>
          <w:sz w:val="32"/>
          <w:szCs w:val="32"/>
        </w:rPr>
        <w:t>。</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2023年中共湟源县委党校各单位政府采购预算总额</w:t>
      </w:r>
      <w:r>
        <w:rPr>
          <w:rFonts w:hint="eastAsia" w:ascii="仿宋_GB2312" w:hAnsi="仿宋" w:eastAsia="仿宋_GB2312"/>
          <w:spacing w:val="-6"/>
          <w:kern w:val="2"/>
          <w:sz w:val="32"/>
          <w:szCs w:val="32"/>
          <w:lang w:val="en-US" w:eastAsia="zh-CN"/>
        </w:rPr>
        <w:t>3.65</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3.65</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截至2023年2月底，中共湟源县委党校所属各预算单位共有车辆</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辆、一般公务用车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2023年中共湟源县委党校预算均实行绩效目标管理，涉及项目1个，预算金额12.00万元。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tbl>
      <w:tblPr>
        <w:tblStyle w:val="5"/>
        <w:tblW w:w="10188" w:type="dxa"/>
        <w:jc w:val="center"/>
        <w:tblLayout w:type="fixed"/>
        <w:tblCellMar>
          <w:top w:w="0" w:type="dxa"/>
          <w:left w:w="108" w:type="dxa"/>
          <w:bottom w:w="0" w:type="dxa"/>
          <w:right w:w="108" w:type="dxa"/>
        </w:tblCellMar>
      </w:tblPr>
      <w:tblGrid>
        <w:gridCol w:w="1372"/>
        <w:gridCol w:w="1056"/>
        <w:gridCol w:w="1929"/>
        <w:gridCol w:w="777"/>
        <w:gridCol w:w="734"/>
        <w:gridCol w:w="1350"/>
        <w:gridCol w:w="138"/>
        <w:gridCol w:w="852"/>
        <w:gridCol w:w="103"/>
        <w:gridCol w:w="900"/>
        <w:gridCol w:w="977"/>
      </w:tblGrid>
      <w:tr>
        <w:tblPrEx>
          <w:tblCellMar>
            <w:top w:w="0" w:type="dxa"/>
            <w:left w:w="108" w:type="dxa"/>
            <w:bottom w:w="0" w:type="dxa"/>
            <w:right w:w="108" w:type="dxa"/>
          </w:tblCellMar>
        </w:tblPrEx>
        <w:trPr>
          <w:trHeight w:val="420" w:hRule="atLeast"/>
          <w:jc w:val="center"/>
        </w:trPr>
        <w:tc>
          <w:tcPr>
            <w:tcW w:w="10188" w:type="dxa"/>
            <w:gridSpan w:val="11"/>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357"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rPr>
              <w:t>预算年度：2023</w:t>
            </w:r>
          </w:p>
        </w:tc>
        <w:tc>
          <w:tcPr>
            <w:tcW w:w="77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3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50"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90" w:type="dxa"/>
            <w:gridSpan w:val="2"/>
            <w:tcBorders>
              <w:top w:val="nil"/>
              <w:left w:val="nil"/>
              <w:bottom w:val="nil"/>
              <w:right w:val="nil"/>
            </w:tcBorders>
            <w:shd w:val="clear" w:color="auto" w:fill="auto"/>
            <w:vAlign w:val="center"/>
          </w:tcPr>
          <w:p>
            <w:pPr>
              <w:rPr>
                <w:rFonts w:ascii="宋体" w:hAnsi="宋体" w:cs="宋体"/>
                <w:color w:val="000000"/>
                <w:sz w:val="18"/>
                <w:szCs w:val="18"/>
              </w:rPr>
            </w:pPr>
          </w:p>
        </w:tc>
        <w:tc>
          <w:tcPr>
            <w:tcW w:w="1980" w:type="dxa"/>
            <w:gridSpan w:val="3"/>
            <w:tcBorders>
              <w:top w:val="nil"/>
              <w:left w:val="nil"/>
              <w:bottom w:val="nil"/>
              <w:right w:val="nil"/>
            </w:tcBorders>
            <w:shd w:val="clear" w:color="auto" w:fill="auto"/>
            <w:vAlign w:val="center"/>
          </w:tcPr>
          <w:p>
            <w:pPr>
              <w:widowControl/>
              <w:jc w:val="right"/>
              <w:textAlignment w:val="center"/>
              <w:rPr>
                <w:rFonts w:ascii="宋体" w:hAnsi="宋体" w:cs="宋体"/>
                <w:color w:val="000000"/>
                <w:sz w:val="22"/>
                <w:szCs w:val="22"/>
              </w:rPr>
            </w:pPr>
            <w:r>
              <w:rPr>
                <w:rFonts w:ascii="宋体" w:hAnsi="宋体" w:cs="宋体"/>
                <w:color w:val="000000"/>
                <w:kern w:val="0"/>
                <w:sz w:val="22"/>
                <w:szCs w:val="22"/>
              </w:rPr>
              <w:t>金额单位：万元</w:t>
            </w:r>
          </w:p>
        </w:tc>
      </w:tr>
      <w:tr>
        <w:tblPrEx>
          <w:tblCellMar>
            <w:top w:w="0" w:type="dxa"/>
            <w:left w:w="108" w:type="dxa"/>
            <w:bottom w:w="0" w:type="dxa"/>
            <w:right w:w="108" w:type="dxa"/>
          </w:tblCellMar>
        </w:tblPrEx>
        <w:trPr>
          <w:trHeight w:val="280" w:hRule="atLeast"/>
          <w:jc w:val="center"/>
        </w:trPr>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批复数</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绩效目标</w:t>
            </w:r>
          </w:p>
        </w:tc>
        <w:tc>
          <w:tcPr>
            <w:tcW w:w="29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w:t>
            </w:r>
          </w:p>
        </w:tc>
        <w:tc>
          <w:tcPr>
            <w:tcW w:w="9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绩效指标性质</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绩效指标值</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绩效度量单位</w:t>
            </w:r>
          </w:p>
        </w:tc>
      </w:tr>
      <w:tr>
        <w:tblPrEx>
          <w:tblCellMar>
            <w:top w:w="0" w:type="dxa"/>
            <w:left w:w="108" w:type="dxa"/>
            <w:bottom w:w="0" w:type="dxa"/>
            <w:right w:w="108" w:type="dxa"/>
          </w:tblCellMar>
        </w:tblPrEx>
        <w:trPr>
          <w:trHeight w:val="280" w:hRule="atLeast"/>
          <w:jc w:val="center"/>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二级指标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三级指标</w:t>
            </w:r>
          </w:p>
        </w:tc>
        <w:tc>
          <w:tcPr>
            <w:tcW w:w="9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行政学校业务费</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rPr>
              <w:t>12.00</w:t>
            </w:r>
          </w:p>
        </w:tc>
        <w:tc>
          <w:tcPr>
            <w:tcW w:w="1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 xml:space="preserve">1.确保党的路线、方针、政策能够得到及时有效的宣传 2.完成县委干部教育工作领导小组下达的全县以及其他人员的培训、轮训工作 3.承办党员干部继续教育和入党积极分子等党员干部培训的委托事项 4.推进理论创新，为县委、县政府决策提供服务 </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产出指标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数量指标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举行培训班班次</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场次</w:t>
            </w:r>
          </w:p>
        </w:tc>
      </w:tr>
      <w:tr>
        <w:tblPrEx>
          <w:tblCellMar>
            <w:top w:w="0" w:type="dxa"/>
            <w:left w:w="108" w:type="dxa"/>
            <w:bottom w:w="0" w:type="dxa"/>
            <w:right w:w="108" w:type="dxa"/>
          </w:tblCellMar>
        </w:tblPrEx>
        <w:trPr>
          <w:trHeight w:val="560" w:hRule="atLeast"/>
          <w:jc w:val="center"/>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效益指标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社会效益指标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培训班培训人数</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人次</w:t>
            </w:r>
          </w:p>
        </w:tc>
      </w:tr>
      <w:tr>
        <w:tblPrEx>
          <w:tblCellMar>
            <w:top w:w="0" w:type="dxa"/>
            <w:left w:w="108" w:type="dxa"/>
            <w:bottom w:w="0" w:type="dxa"/>
            <w:right w:w="108" w:type="dxa"/>
          </w:tblCellMar>
        </w:tblPrEx>
        <w:trPr>
          <w:trHeight w:val="840" w:hRule="atLeast"/>
          <w:jc w:val="center"/>
        </w:trPr>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满意度指标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服务对象满意度指标</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rPr>
              <w:t>培训学员满意度</w:t>
            </w:r>
          </w:p>
        </w:tc>
        <w:tc>
          <w:tcPr>
            <w:tcW w:w="9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高中低</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bl>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b/>
          <w:bCs/>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b/>
          <w:bCs/>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cs="仿宋_GB2312"/>
          <w:b/>
          <w:bCs/>
          <w:sz w:val="32"/>
          <w:szCs w:val="32"/>
        </w:rPr>
        <w:t>：</w:t>
      </w:r>
      <w:r>
        <w:rPr>
          <w:rFonts w:hint="eastAsia" w:ascii="仿宋_GB2312" w:eastAsia="仿宋_GB2312"/>
          <w:sz w:val="32"/>
          <w:szCs w:val="32"/>
        </w:rPr>
        <w:t>反映机关事业单位实施养老保险制度由单位实际缴纳的职业年金支出。</w:t>
      </w:r>
    </w:p>
    <w:p>
      <w:pPr>
        <w:ind w:firstLine="643" w:firstLineChars="200"/>
        <w:rPr>
          <w:b/>
          <w:bCs/>
        </w:rPr>
      </w:pPr>
      <w:r>
        <w:rPr>
          <w:rFonts w:hint="eastAsia" w:ascii="仿宋_GB2312" w:eastAsia="仿宋_GB2312"/>
          <w:b/>
          <w:bCs/>
          <w:sz w:val="32"/>
          <w:szCs w:val="32"/>
        </w:rPr>
        <w:t>（三）卫生健康支出（类）行政事业单位医疗（款）行政单位医疗（项）</w:t>
      </w:r>
      <w:r>
        <w:rPr>
          <w:rFonts w:hint="eastAsia" w:ascii="仿宋_GB2312" w:eastAsia="仿宋_GB2312"/>
          <w:b/>
          <w:sz w:val="32"/>
          <w:szCs w:val="32"/>
        </w:rPr>
        <w:t>：</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b/>
          <w:bCs/>
        </w:rPr>
      </w:pPr>
      <w:r>
        <w:rPr>
          <w:rFonts w:hint="eastAsia" w:ascii="仿宋_GB2312" w:eastAsia="仿宋_GB2312"/>
          <w:b/>
          <w:bCs/>
          <w:sz w:val="32"/>
          <w:szCs w:val="32"/>
        </w:rPr>
        <w:t>（四）卫生健康支出（类）行政事业单位医疗（款）事业单位医疗（项）：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b/>
          <w:bCs/>
        </w:rPr>
      </w:pPr>
      <w:r>
        <w:rPr>
          <w:rFonts w:hint="eastAsia" w:ascii="仿宋_GB2312" w:eastAsia="仿宋_GB2312"/>
          <w:b/>
          <w:bCs/>
          <w:sz w:val="32"/>
          <w:szCs w:val="32"/>
        </w:rPr>
        <w:t>（五）卫生健康支出（类）行政事业单位医疗（款）公务员医疗补助（项）：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b/>
          <w:bCs/>
          <w:sz w:val="32"/>
          <w:szCs w:val="32"/>
        </w:rPr>
      </w:pPr>
      <w:r>
        <w:rPr>
          <w:rFonts w:hint="eastAsia" w:ascii="仿宋_GB2312" w:eastAsia="仿宋_GB2312"/>
          <w:b/>
          <w:bCs/>
          <w:sz w:val="32"/>
          <w:szCs w:val="32"/>
        </w:rPr>
        <w:t>（六）社会保障和就业支出（类）行政事业单位养老支出（款）其他行政事业单位养老支出（项）：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b/>
          <w:bCs/>
        </w:rPr>
      </w:pPr>
      <w:r>
        <w:rPr>
          <w:rFonts w:hint="eastAsia" w:ascii="仿宋_GB2312" w:eastAsia="仿宋_GB2312"/>
          <w:b/>
          <w:bCs/>
          <w:sz w:val="32"/>
          <w:szCs w:val="32"/>
        </w:rPr>
        <w:t>（七）住房保障支出（类）住房改革支出（款）住房公积金（项）：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rPr>
          <w:rFonts w:ascii="仿宋_GB2312" w:eastAsia="仿宋_GB2312"/>
          <w:sz w:val="32"/>
          <w:szCs w:val="32"/>
        </w:rPr>
      </w:pPr>
      <w:r>
        <w:rPr>
          <w:rFonts w:hint="eastAsia" w:ascii="仿宋_GB2312" w:eastAsia="仿宋_GB2312"/>
          <w:b/>
          <w:bCs/>
          <w:sz w:val="32"/>
          <w:szCs w:val="32"/>
        </w:rPr>
        <w:t>（八）社会保障和就业支出（类）其他社会保障和就业支出（款）其他社会保障和就业支出（项）：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（九）教育支出（类）进修和培训（款）干部教育（项）：</w:t>
      </w:r>
      <w:r>
        <w:rPr>
          <w:rFonts w:hint="eastAsia" w:ascii="仿宋_GB2312" w:eastAsia="仿宋_GB2312"/>
          <w:sz w:val="32"/>
          <w:szCs w:val="32"/>
        </w:rPr>
        <w:t>反映各级党校、行政学院、社会主义学院、国家会计学院的支出。包括机构运转、招聘师资、举办各类培训班的支出等。</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ind w:firstLine="640" w:firstLineChars="200"/>
        <w:rPr>
          <w:rFonts w:ascii="仿宋_GB2312" w:eastAsia="仿宋_GB2312"/>
          <w:sz w:val="32"/>
          <w:szCs w:val="32"/>
        </w:rPr>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45B85"/>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20CC"/>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261A"/>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0ECC"/>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5A04"/>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551E9"/>
    <w:rsid w:val="00B62CC7"/>
    <w:rsid w:val="00B6586E"/>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DEB3F1A"/>
    <w:rsid w:val="0E193301"/>
    <w:rsid w:val="0E2447F1"/>
    <w:rsid w:val="0EB9334C"/>
    <w:rsid w:val="0EE02A09"/>
    <w:rsid w:val="0EF30338"/>
    <w:rsid w:val="0EF820C6"/>
    <w:rsid w:val="0F0C3167"/>
    <w:rsid w:val="0F1B23BF"/>
    <w:rsid w:val="0F4E7F7D"/>
    <w:rsid w:val="0F5D63CD"/>
    <w:rsid w:val="0F9D0EBF"/>
    <w:rsid w:val="0FBC2FF0"/>
    <w:rsid w:val="0FDF10D4"/>
    <w:rsid w:val="0FEB5787"/>
    <w:rsid w:val="10161C5F"/>
    <w:rsid w:val="107734BE"/>
    <w:rsid w:val="107C6D27"/>
    <w:rsid w:val="10915F18"/>
    <w:rsid w:val="10A51DDA"/>
    <w:rsid w:val="10BA54D9"/>
    <w:rsid w:val="10CA42ED"/>
    <w:rsid w:val="10D26947"/>
    <w:rsid w:val="10D60A11"/>
    <w:rsid w:val="10D91A83"/>
    <w:rsid w:val="10ED7D79"/>
    <w:rsid w:val="10F20D97"/>
    <w:rsid w:val="111C6472"/>
    <w:rsid w:val="11276C93"/>
    <w:rsid w:val="11963E18"/>
    <w:rsid w:val="11B06C88"/>
    <w:rsid w:val="11FC011F"/>
    <w:rsid w:val="12402145"/>
    <w:rsid w:val="12525F91"/>
    <w:rsid w:val="126B2BAF"/>
    <w:rsid w:val="12897E2D"/>
    <w:rsid w:val="12AD31C8"/>
    <w:rsid w:val="12B46304"/>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B34DD"/>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4E7284"/>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07A43"/>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9B2476"/>
    <w:rsid w:val="3FCF2120"/>
    <w:rsid w:val="3FDD6F27"/>
    <w:rsid w:val="3FEA0D08"/>
    <w:rsid w:val="402971CE"/>
    <w:rsid w:val="402B55A8"/>
    <w:rsid w:val="403F5BFA"/>
    <w:rsid w:val="4047615A"/>
    <w:rsid w:val="40583EC3"/>
    <w:rsid w:val="40C44457"/>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A82C45"/>
    <w:rsid w:val="50CF01D2"/>
    <w:rsid w:val="50CF1F80"/>
    <w:rsid w:val="50D46B08"/>
    <w:rsid w:val="50DF4F22"/>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C930E6"/>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EF9732C"/>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6737</Words>
  <Characters>8151</Characters>
  <Lines>65</Lines>
  <Paragraphs>18</Paragraphs>
  <TotalTime>0</TotalTime>
  <ScaleCrop>false</ScaleCrop>
  <LinksUpToDate>false</LinksUpToDate>
  <CharactersWithSpaces>8256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2023-06-05T07:55:00Z</dcterms:created>
  <dc:creator>王炜(部门内部人)</dc:creator>
  <cp:lastModifiedBy>大琹</cp:lastModifiedBy>
  <cp:lastPrinted>2021-01-31T19:43:00Z</cp:lastPrinted>
  <dcterms:modified xsi:type="dcterms:W3CDTF">2023-06-08T08:20:32Z</dcterms:modified>
  <dc:title>×××部门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28A8F95C0A1B44408B0355C6857C0AE4_13</vt:lpwstr>
  </property>
</Properties>
</file>