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3"/>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3"/>
              <w:jc w:val="center"/>
              <w:rPr>
                <w:rFonts w:ascii="Cambria" w:hAnsi="Cambria"/>
                <w:b/>
                <w:sz w:val="80"/>
                <w:szCs w:val="80"/>
              </w:rPr>
            </w:pPr>
            <w:r>
              <w:rPr>
                <w:rFonts w:hint="eastAsia" w:ascii="Cambria" w:hAnsi="Cambria"/>
                <w:b/>
                <w:sz w:val="80"/>
                <w:szCs w:val="80"/>
              </w:rPr>
              <w:t>湟源县自然资源局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3"/>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3"/>
              <w:jc w:val="center"/>
            </w:pPr>
          </w:p>
        </w:tc>
      </w:tr>
    </w:tbl>
    <w:p/>
    <w:tbl>
      <w:tblPr>
        <w:tblStyle w:val="6"/>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3"/>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第三部分 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第四部分 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贯彻执行国家和省市县有关自然资源工作的方针政策和法律法规；负责全县自然资源调查监测评价；负责全县自然资源统一确权登记工作；负责自然资源资产有偿使用工作；负责全县自然资源的合理开发利用；负责建立空间规划体系并监督实施；负责统筹县国土空间生态修复；负责组织实施最严格的耕地保护制度；负责管理全县地质勘查行业和地质工作；负责落实综合防灾减灾规划相关要求，组织编制全县地质灾害防治预案并指导实施；负责全县矿产资源管理工作；负责全县测绘地理信息工作；完成县委县政府交办的其他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纳入202</w:t>
      </w:r>
      <w:r>
        <w:rPr>
          <w:rFonts w:hint="eastAsia" w:ascii="仿宋_GB2312" w:eastAsia="仿宋_GB2312" w:cs="仿宋"/>
          <w:sz w:val="32"/>
          <w:szCs w:val="32"/>
          <w:lang w:val="en-US" w:eastAsia="zh-CN"/>
        </w:rPr>
        <w:t>3</w:t>
      </w:r>
      <w:r>
        <w:rPr>
          <w:rFonts w:hint="eastAsia" w:ascii="仿宋_GB2312" w:eastAsia="仿宋_GB2312" w:cs="仿宋"/>
          <w:sz w:val="32"/>
          <w:szCs w:val="32"/>
          <w:lang w:eastAsia="zh-CN"/>
        </w:rPr>
        <w:t>年度决算编制范围的预算单位共计1个，具体包括：湟源县自然资源局部门本级。</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我单位内设机构9个，具体为：湟源县土地执法大队、湟源县不动产登记服务中心、湟源规划服务中心、湟源县土地统征储备中心、办公室、财务室、耕保科、利用科、矿管科。</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2023年度预算编制范围包括各级预算单位1个。编制人数34人，其中：行政编制6人，参公编制7人，事业编制20人，工勤编制1人。单位年初实有人数25人，其中：在职人员25人（行政人员6人，事业人员19人），离休人员0人。</w: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部门预算部门构成</w:t>
      </w:r>
    </w:p>
    <w:p>
      <w:pPr>
        <w:ind w:firstLine="640" w:firstLineChars="200"/>
        <w:rPr>
          <w:rFonts w:hint="eastAsia" w:ascii="仿宋_GB2312" w:eastAsia="仿宋_GB2312" w:cs="仿宋"/>
          <w:sz w:val="32"/>
          <w:szCs w:val="32"/>
          <w:lang w:eastAsia="zh-CN"/>
        </w:rPr>
      </w:pPr>
      <w:r>
        <w:rPr>
          <w:rFonts w:hint="eastAsia" w:ascii="仿宋_GB2312" w:eastAsia="仿宋_GB2312" w:cs="仿宋"/>
          <w:sz w:val="32"/>
          <w:szCs w:val="32"/>
          <w:lang w:eastAsia="zh-CN"/>
        </w:rPr>
        <w:t>纳入湟源县</w:t>
      </w:r>
      <w:r>
        <w:rPr>
          <w:rFonts w:hint="eastAsia" w:ascii="仿宋_GB2312" w:eastAsia="仿宋_GB2312"/>
          <w:sz w:val="32"/>
          <w:szCs w:val="32"/>
        </w:rPr>
        <w:t>自然资源局</w:t>
      </w:r>
      <w:r>
        <w:rPr>
          <w:rFonts w:hint="eastAsia" w:ascii="仿宋_GB2312" w:eastAsia="仿宋_GB2312" w:cs="仿宋"/>
          <w:sz w:val="32"/>
          <w:szCs w:val="32"/>
          <w:lang w:eastAsia="zh-CN"/>
        </w:rPr>
        <w:t>2023年部门预算编制范围的二级预算单位包括：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ascii="仿宋_GB2312" w:eastAsia="仿宋_GB2312"/>
          <w:color w:val="000000"/>
          <w:sz w:val="30"/>
          <w:szCs w:val="30"/>
        </w:rPr>
      </w:pPr>
      <w:r>
        <w:rPr>
          <w:rFonts w:ascii="仿宋_GB2312" w:eastAsia="仿宋_GB2312"/>
          <w:color w:val="000000"/>
          <w:sz w:val="30"/>
          <w:szCs w:val="30"/>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6"/>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1755.29</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110.26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56.45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1545.67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42.91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274.37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1755.29</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2029.67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274.37</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2029.67</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2029.67</w:t>
            </w:r>
          </w:p>
        </w:tc>
      </w:tr>
    </w:tbl>
    <w:tbl>
      <w:tblPr>
        <w:tblStyle w:val="6"/>
        <w:tblpPr w:leftFromText="180" w:rightFromText="180" w:vertAnchor="text" w:horzAnchor="page" w:tblpXSpec="center" w:tblpY="618"/>
        <w:tblOverlap w:val="never"/>
        <w:tblW w:w="11584" w:type="dxa"/>
        <w:jc w:val="center"/>
        <w:tblLayout w:type="fixed"/>
        <w:tblCellMar>
          <w:top w:w="0" w:type="dxa"/>
          <w:left w:w="108" w:type="dxa"/>
          <w:bottom w:w="0" w:type="dxa"/>
          <w:right w:w="108" w:type="dxa"/>
        </w:tblCellMar>
      </w:tblPr>
      <w:tblGrid>
        <w:gridCol w:w="1100"/>
        <w:gridCol w:w="1083"/>
        <w:gridCol w:w="1083"/>
        <w:gridCol w:w="1084"/>
        <w:gridCol w:w="914"/>
        <w:gridCol w:w="914"/>
        <w:gridCol w:w="1056"/>
        <w:gridCol w:w="772"/>
        <w:gridCol w:w="914"/>
        <w:gridCol w:w="914"/>
        <w:gridCol w:w="914"/>
        <w:gridCol w:w="836"/>
      </w:tblGrid>
      <w:tr>
        <w:tblPrEx>
          <w:tblCellMar>
            <w:top w:w="0" w:type="dxa"/>
            <w:left w:w="108" w:type="dxa"/>
            <w:bottom w:w="0" w:type="dxa"/>
            <w:right w:w="108" w:type="dxa"/>
          </w:tblCellMar>
        </w:tblPrEx>
        <w:trPr>
          <w:trHeight w:val="392" w:hRule="atLeast"/>
          <w:jc w:val="center"/>
        </w:trPr>
        <w:tc>
          <w:tcPr>
            <w:tcW w:w="11584"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84"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84"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8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2029.67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274.37</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1755.29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湟源县自然资源局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2029.67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274.37</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1755.29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湟源县自然资源局（本级）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2029.67</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274.37</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1755.29</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6"/>
        <w:tblW w:w="11571" w:type="dxa"/>
        <w:jc w:val="center"/>
        <w:tblLayout w:type="fixed"/>
        <w:tblCellMar>
          <w:top w:w="0" w:type="dxa"/>
          <w:left w:w="108" w:type="dxa"/>
          <w:bottom w:w="0" w:type="dxa"/>
          <w:right w:w="108" w:type="dxa"/>
        </w:tblCellMar>
      </w:tblPr>
      <w:tblGrid>
        <w:gridCol w:w="1100"/>
        <w:gridCol w:w="3831"/>
        <w:gridCol w:w="1106"/>
        <w:gridCol w:w="1106"/>
        <w:gridCol w:w="1106"/>
        <w:gridCol w:w="1106"/>
        <w:gridCol w:w="1106"/>
        <w:gridCol w:w="1110"/>
      </w:tblGrid>
      <w:tr>
        <w:tblPrEx>
          <w:tblCellMar>
            <w:top w:w="0" w:type="dxa"/>
            <w:left w:w="108" w:type="dxa"/>
            <w:bottom w:w="0" w:type="dxa"/>
            <w:right w:w="108" w:type="dxa"/>
          </w:tblCellMar>
        </w:tblPrEx>
        <w:trPr>
          <w:trHeight w:val="187" w:hRule="atLeast"/>
          <w:jc w:val="center"/>
        </w:trPr>
        <w:tc>
          <w:tcPr>
            <w:tcW w:w="11571"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571"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571"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93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2029.67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656.67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1372.99</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110.26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110.26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108.78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108.78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45.94</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45.94</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0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56.45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56.45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56.45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56.45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22.84</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22.84</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21.36</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220</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自然资源海洋气象等支出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1545.67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447.05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1098.62</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22001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自然资源事务</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1545.67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447.05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1098.62</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2200101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487.05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447.05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2200102</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一般行政管理事务</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645.07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645.07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2200104</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自然资源规划及管理</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2200109</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自然资源调查与确权登记</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363.55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363.55</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224</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灾害防治及应急管理支出</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22406</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自然灾害防治</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2240601</w:t>
            </w:r>
          </w:p>
        </w:tc>
        <w:tc>
          <w:tcPr>
            <w:tcW w:w="38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地质灾害防治</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274.37</w:t>
            </w: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6"/>
        <w:tblpPr w:leftFromText="180" w:rightFromText="180" w:vertAnchor="text" w:horzAnchor="page" w:tblpXSpec="center" w:tblpY="183"/>
        <w:tblOverlap w:val="never"/>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952"/>
        <w:gridCol w:w="1751"/>
        <w:gridCol w:w="1226"/>
        <w:gridCol w:w="1278"/>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42"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2"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42"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7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95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22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7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41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95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1755.29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2029.67</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2029.67</w:t>
            </w: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95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1755.29</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110.26</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110.26</w:t>
            </w: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56.45</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56.45</w:t>
            </w: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1545.67</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1545.67</w:t>
            </w: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274.37</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274.37</w:t>
            </w: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95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274.37</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95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274.37</w:t>
            </w:r>
          </w:p>
        </w:tc>
        <w:tc>
          <w:tcPr>
            <w:tcW w:w="1751" w:type="dxa"/>
            <w:shd w:val="clear" w:color="auto" w:fill="FFFFFF"/>
            <w:noWrap/>
            <w:vAlign w:val="center"/>
          </w:tcPr>
          <w:p>
            <w:pPr>
              <w:widowControl/>
              <w:jc w:val="left"/>
              <w:rPr>
                <w:rFonts w:ascii="宋体" w:hAnsi="宋体" w:cs="宋体"/>
                <w:kern w:val="0"/>
                <w:sz w:val="20"/>
              </w:rPr>
            </w:pP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952"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226" w:type="dxa"/>
            <w:shd w:val="clear" w:color="auto" w:fill="FFFFFF"/>
            <w:noWrap/>
            <w:vAlign w:val="center"/>
          </w:tcPr>
          <w:p>
            <w:pPr>
              <w:widowControl/>
              <w:jc w:val="center"/>
              <w:rPr>
                <w:rFonts w:ascii="宋体" w:hAnsi="宋体" w:cs="宋体"/>
                <w:kern w:val="0"/>
                <w:sz w:val="20"/>
              </w:rPr>
            </w:pPr>
          </w:p>
        </w:tc>
        <w:tc>
          <w:tcPr>
            <w:tcW w:w="1278" w:type="dxa"/>
            <w:shd w:val="clear" w:color="auto" w:fill="FFFFFF"/>
            <w:noWrap/>
            <w:vAlign w:val="center"/>
          </w:tcPr>
          <w:p>
            <w:pPr>
              <w:widowControl/>
              <w:jc w:val="center"/>
              <w:rPr>
                <w:rFonts w:ascii="宋体" w:hAnsi="宋体" w:cs="宋体"/>
                <w:kern w:val="0"/>
                <w:sz w:val="20"/>
              </w:rPr>
            </w:pPr>
          </w:p>
        </w:tc>
        <w:tc>
          <w:tcPr>
            <w:tcW w:w="1415"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0"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952"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2029.67</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22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2029.67</w:t>
            </w:r>
          </w:p>
        </w:tc>
        <w:tc>
          <w:tcPr>
            <w:tcW w:w="1278"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2029.67</w:t>
            </w:r>
          </w:p>
        </w:tc>
        <w:tc>
          <w:tcPr>
            <w:tcW w:w="1415" w:type="dxa"/>
            <w:shd w:val="clear" w:color="auto" w:fill="FFFFFF"/>
            <w:noWrap/>
            <w:vAlign w:val="center"/>
          </w:tcPr>
          <w:p>
            <w:pPr>
              <w:widowControl/>
              <w:jc w:val="center"/>
              <w:rPr>
                <w:rFonts w:ascii="宋体" w:hAnsi="宋体" w:cs="宋体"/>
                <w:kern w:val="0"/>
                <w:sz w:val="20"/>
              </w:rPr>
            </w:pPr>
          </w:p>
        </w:tc>
      </w:tr>
    </w:tbl>
    <w:p>
      <w:r>
        <w:br w:type="page"/>
      </w:r>
    </w:p>
    <w:tbl>
      <w:tblPr>
        <w:tblStyle w:val="6"/>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17"/>
        <w:gridCol w:w="1481"/>
        <w:gridCol w:w="1481"/>
        <w:gridCol w:w="1481"/>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76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44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1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76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1755.29</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656.67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1098.62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110.26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110.26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108.78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108.78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45.94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45.94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22.97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22.97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1.48</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56.45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56.45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56.45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56.45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22.84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22.84</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12.26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21.36</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自然资源海洋气象等支出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1545.67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447.05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1098.62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自然资源事务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1545.67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447.05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1098.62</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487.05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447.05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一般行政管理事务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645.07</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645.07</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04</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自然资源规划及管理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09</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自然资源调查与确权登记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363.55</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363.55</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42.91</w:t>
            </w:r>
          </w:p>
        </w:tc>
        <w:tc>
          <w:tcPr>
            <w:tcW w:w="148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6"/>
        <w:tblW w:w="11245" w:type="dxa"/>
        <w:jc w:val="center"/>
        <w:tblLayout w:type="fixed"/>
        <w:tblCellMar>
          <w:top w:w="0" w:type="dxa"/>
          <w:left w:w="108" w:type="dxa"/>
          <w:bottom w:w="0" w:type="dxa"/>
          <w:right w:w="108" w:type="dxa"/>
        </w:tblCellMar>
      </w:tblPr>
      <w:tblGrid>
        <w:gridCol w:w="650"/>
        <w:gridCol w:w="650"/>
        <w:gridCol w:w="2834"/>
        <w:gridCol w:w="2370"/>
        <w:gridCol w:w="2370"/>
        <w:gridCol w:w="2371"/>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13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11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8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7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7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134"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656.67</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628.93</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571.35</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571.35</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107.22</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107.22</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121.19</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121.19</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38.65</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38.65</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112.75</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112.75</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45.94</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45.94</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22.97</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22.97</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17.38</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17.38</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21.36</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21.36</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42.91</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42.91</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39.50</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39.50</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27.74</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2.97</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0.54</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0.54</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2.16</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2.16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2.70</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2.43</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2.43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0.81</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委托业务费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5.34</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5.34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5.60</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2.64</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2.64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57.59</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57.59</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39.87</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39.87</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8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17.72</w:t>
            </w:r>
          </w:p>
        </w:tc>
        <w:tc>
          <w:tcPr>
            <w:tcW w:w="237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17.72</w:t>
            </w:r>
          </w:p>
        </w:tc>
        <w:tc>
          <w:tcPr>
            <w:tcW w:w="2371"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6"/>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62"/>
            <w:bookmarkEnd w:id="1"/>
            <w:bookmarkStart w:id="2" w:name="RANGE!A1:F15"/>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0.84</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0.81</w:t>
            </w:r>
          </w:p>
        </w:tc>
      </w:tr>
    </w:tbl>
    <w:p>
      <w:pPr>
        <w:rPr>
          <w:rFonts w:ascii="仿宋_GB2312" w:eastAsia="仿宋_GB2312"/>
          <w:sz w:val="32"/>
          <w:szCs w:val="32"/>
        </w:rPr>
      </w:pPr>
      <w:r>
        <w:rPr>
          <w:rFonts w:hint="eastAsia" w:ascii="仿宋_GB2312" w:eastAsia="仿宋_GB2312"/>
          <w:sz w:val="32"/>
          <w:szCs w:val="32"/>
        </w:rPr>
        <w:br w:type="page"/>
      </w:r>
    </w:p>
    <w:tbl>
      <w:tblPr>
        <w:tblStyle w:val="6"/>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一、关于湟源县自然资源局2023年部门收支预算情况的总体说明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自然资源局所有收入和支出均纳入部门预算管理。收入包括：一般公共预算拨款收入1755.29万元，上年结转274.37万元；支出包括：社会保障和就业支出110.26万元，卫生健康支出56.45万元，自然资源海洋气象等支出1545.67万元，住房保障支出42.91万元，灾害防治及应急管理支出274.37万元。湟源县自然资源局2023年收支总预算2029.67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二、关于湟源县自然资源局2023年部门收入预算情况说明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湟源县自然资源局2023年收入预算2029.67万元，其中：上年结转274.37万元，占13.52%；一般公共预算拨款收入1755.29万元，占86.48%。</w:t>
      </w:r>
    </w:p>
    <w:p>
      <w:pPr>
        <w:ind w:firstLine="640" w:firstLineChars="200"/>
        <w:rPr>
          <w:rFonts w:ascii="仿宋_GB2312" w:eastAsia="仿宋_GB2312"/>
          <w:sz w:val="32"/>
          <w:szCs w:val="32"/>
        </w:rPr>
      </w:pPr>
      <w:r>
        <w:rPr>
          <w:rFonts w:ascii="仿宋_GB2312" w:eastAsia="仿宋_GB2312"/>
          <w:sz w:val="32"/>
          <w:szCs w:val="32"/>
        </w:rPr>
        <w:drawing>
          <wp:inline distT="0" distB="0" distL="114300" distR="114300">
            <wp:extent cx="3597910" cy="16624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97910" cy="166243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三、关于湟源县自然资源局2023年部门支出预算情况说明</w:t>
      </w:r>
    </w:p>
    <w:p>
      <w:pPr>
        <w:ind w:firstLine="645"/>
        <w:rPr>
          <w:rFonts w:ascii="仿宋_GB2312" w:eastAsia="仿宋_GB2312"/>
          <w:sz w:val="32"/>
          <w:szCs w:val="32"/>
        </w:rPr>
      </w:pPr>
      <w:r>
        <w:rPr>
          <w:rFonts w:hint="eastAsia" w:ascii="仿宋_GB2312" w:eastAsia="仿宋_GB2312"/>
          <w:sz w:val="32"/>
          <w:szCs w:val="32"/>
        </w:rPr>
        <w:t>湟源县自然资源局2023年支出预算2029.67万元，其中：基本支出656.67万元，占32.35%；项目支出1372.99万元，占67.65%。</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3597910" cy="16624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597910" cy="1662430"/>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四、关于湟源县自然资源局2023年财政拨款收支预算情况的总体说明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自然资源局2023年财政拨款收支总预算2029.67万元，比上年增加927.84万元，主要是本年项目拨款增加。收入包括：一般公共预算拨款收入1755.29万元，上年结转274.37万元；政府性基金预算拨款收入0.00万元，上年结转0.00万元。支出包括： 社会保障和就业支出110.26万元， 卫生健康支出56.45万元， 自然资源海洋气象等支出1545.67万元， 住房保障支出42.91万元， 灾害防治及应急管理支出274.37万元。</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3597910" cy="16624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597910" cy="166243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五、关于湟源县自然资源局2023年一般公共预算当年拨款情况说明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湟源县自然资源局2023年一般公共预算当年拨款1755.29万元,比上年增加1053.46万元，主要是项目增加</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drawing>
          <wp:inline distT="0" distB="0" distL="114300" distR="114300">
            <wp:extent cx="3776345" cy="1282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76345" cy="128270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社会保障和就业支出110.26万元，占6.28%；卫生健康支出56.45万元，占3.22%；自然资源海洋气象等支出1545.67万元，占88.06%；住房保障支出42.91万元，占2.44%。</w:t>
      </w:r>
    </w:p>
    <w:p>
      <w:pPr>
        <w:ind w:firstLine="645"/>
        <w:rPr>
          <w:rFonts w:ascii="仿宋_GB2312" w:eastAsia="仿宋_GB2312"/>
          <w:sz w:val="32"/>
          <w:szCs w:val="32"/>
        </w:rPr>
      </w:pPr>
      <w:r>
        <w:rPr>
          <w:rFonts w:ascii="仿宋_GB2312" w:eastAsia="仿宋_GB2312"/>
          <w:sz w:val="32"/>
          <w:szCs w:val="32"/>
        </w:rPr>
        <w:drawing>
          <wp:inline distT="0" distB="0" distL="114300" distR="114300">
            <wp:extent cx="3597910" cy="165036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597910" cy="1650365"/>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1、社会保障和就业支出（类）行政事业单位养老支出（款）机关事业单位基本养老保险缴费支出（项）2023年预算数为45.94万元，比上年增加12.03万元，增长35.48%。主要是工资浮动、基数调整、人员变动。</w:t>
      </w:r>
    </w:p>
    <w:p>
      <w:pPr>
        <w:ind w:firstLine="645"/>
        <w:rPr>
          <w:rFonts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2、社会保障和就业支出（类）行政事业单位养老支出（款）机关事业单位职业年金缴费支出（项）2023年预算数为22.97万元，比上年增加6.02万元，增长35.52%。主要是</w:t>
      </w:r>
      <w:r>
        <w:rPr>
          <w:rFonts w:hint="eastAsia" w:ascii="仿宋_GB2312" w:eastAsia="仿宋_GB2312"/>
          <w:sz w:val="32"/>
          <w:szCs w:val="32"/>
          <w:lang w:eastAsia="zh-CN"/>
        </w:rPr>
        <w:t>工</w:t>
      </w:r>
      <w:r>
        <w:rPr>
          <w:rFonts w:hint="eastAsia" w:ascii="仿宋_GB2312" w:eastAsia="仿宋_GB2312"/>
          <w:sz w:val="32"/>
          <w:szCs w:val="32"/>
        </w:rPr>
        <w:t>资浮动、基数调整、人员变动。</w:t>
      </w:r>
    </w:p>
    <w:p>
      <w:pPr>
        <w:ind w:firstLine="645"/>
        <w:rPr>
          <w:rFonts w:ascii="仿宋_GB2312" w:eastAsia="仿宋_GB2312"/>
          <w:sz w:val="32"/>
          <w:szCs w:val="32"/>
        </w:rPr>
      </w:pPr>
      <w:r>
        <w:rPr>
          <w:rFonts w:hint="eastAsia" w:ascii="仿宋_GB2312" w:eastAsia="仿宋_GB2312"/>
          <w:sz w:val="32"/>
          <w:szCs w:val="32"/>
        </w:rPr>
        <w:t>3、社会保障和就业支出（类）行政事业单位养老支出（款）其他行政事业单位养老支出（项）2023年预算数为39.87万元，比上年增加0.34万元，增长0.86%。主要是</w:t>
      </w:r>
      <w:r>
        <w:rPr>
          <w:rFonts w:hint="eastAsia" w:ascii="仿宋_GB2312" w:eastAsia="仿宋_GB2312"/>
          <w:sz w:val="32"/>
          <w:szCs w:val="32"/>
          <w:lang w:eastAsia="zh-CN"/>
        </w:rPr>
        <w:t>工</w:t>
      </w:r>
      <w:r>
        <w:rPr>
          <w:rFonts w:hint="eastAsia" w:ascii="仿宋_GB2312" w:eastAsia="仿宋_GB2312"/>
          <w:sz w:val="32"/>
          <w:szCs w:val="32"/>
        </w:rPr>
        <w:t>资浮动、基数调整、人员变动。</w:t>
      </w:r>
    </w:p>
    <w:p>
      <w:pPr>
        <w:ind w:firstLine="645"/>
        <w:rPr>
          <w:rFonts w:ascii="仿宋_GB2312" w:eastAsia="仿宋_GB2312"/>
          <w:sz w:val="32"/>
          <w:szCs w:val="32"/>
        </w:rPr>
      </w:pPr>
      <w:r>
        <w:rPr>
          <w:rFonts w:hint="eastAsia" w:ascii="仿宋_GB2312" w:eastAsia="仿宋_GB2312"/>
          <w:sz w:val="32"/>
          <w:szCs w:val="32"/>
        </w:rPr>
        <w:t>4、社会保障和就业支出（类）其他社会保障和就业支出（款）其他社会保障和就业支出（项）2023年预算数为1.48万元，比上年减少0.02万元，下降1.33%。主要是</w:t>
      </w:r>
      <w:r>
        <w:rPr>
          <w:rFonts w:hint="eastAsia" w:ascii="仿宋_GB2312" w:eastAsia="仿宋_GB2312"/>
          <w:sz w:val="32"/>
          <w:szCs w:val="32"/>
          <w:lang w:eastAsia="zh-CN"/>
        </w:rPr>
        <w:t>工</w:t>
      </w:r>
      <w:r>
        <w:rPr>
          <w:rFonts w:hint="eastAsia" w:ascii="仿宋_GB2312" w:eastAsia="仿宋_GB2312"/>
          <w:sz w:val="32"/>
          <w:szCs w:val="32"/>
        </w:rPr>
        <w:t>资浮动、基数调整、人员变动。</w:t>
      </w:r>
    </w:p>
    <w:p>
      <w:pPr>
        <w:ind w:firstLine="645"/>
        <w:rPr>
          <w:rFonts w:ascii="仿宋_GB2312" w:eastAsia="仿宋_GB2312"/>
          <w:sz w:val="32"/>
          <w:szCs w:val="32"/>
        </w:rPr>
      </w:pPr>
      <w:r>
        <w:rPr>
          <w:rFonts w:hint="eastAsia" w:ascii="仿宋_GB2312" w:eastAsia="仿宋_GB2312"/>
          <w:sz w:val="32"/>
          <w:szCs w:val="32"/>
        </w:rPr>
        <w:t>5、卫生健康支出（类）行政事业单位医疗（款）行政单位医疗（项）2023年预算数为22.84万元，比上年增加5.28万元，增长30.07%。主要是</w:t>
      </w:r>
      <w:r>
        <w:rPr>
          <w:rFonts w:hint="eastAsia" w:ascii="仿宋_GB2312" w:eastAsia="仿宋_GB2312"/>
          <w:sz w:val="32"/>
          <w:szCs w:val="32"/>
          <w:lang w:eastAsia="zh-CN"/>
        </w:rPr>
        <w:t>工</w:t>
      </w:r>
      <w:r>
        <w:rPr>
          <w:rFonts w:hint="eastAsia" w:ascii="仿宋_GB2312" w:eastAsia="仿宋_GB2312"/>
          <w:sz w:val="32"/>
          <w:szCs w:val="32"/>
        </w:rPr>
        <w:t>资浮动、基数调整、人员变动。</w:t>
      </w:r>
    </w:p>
    <w:p>
      <w:pPr>
        <w:ind w:firstLine="645"/>
        <w:rPr>
          <w:rFonts w:ascii="仿宋_GB2312" w:eastAsia="仿宋_GB2312"/>
          <w:sz w:val="32"/>
          <w:szCs w:val="32"/>
        </w:rPr>
      </w:pPr>
      <w:r>
        <w:rPr>
          <w:rFonts w:hint="eastAsia" w:ascii="仿宋_GB2312" w:eastAsia="仿宋_GB2312"/>
          <w:sz w:val="32"/>
          <w:szCs w:val="32"/>
        </w:rPr>
        <w:t>6、卫生健康支出（类）行政事业单位医疗（款）事业单位医疗（项）2023年预算数为12.26万元，比上年减少0.50万元，下降3.92%。主要是</w:t>
      </w:r>
      <w:r>
        <w:rPr>
          <w:rFonts w:hint="eastAsia" w:ascii="仿宋_GB2312" w:eastAsia="仿宋_GB2312"/>
          <w:sz w:val="32"/>
          <w:szCs w:val="32"/>
          <w:lang w:eastAsia="zh-CN"/>
        </w:rPr>
        <w:t>工</w:t>
      </w:r>
      <w:r>
        <w:rPr>
          <w:rFonts w:hint="eastAsia" w:ascii="仿宋_GB2312" w:eastAsia="仿宋_GB2312"/>
          <w:sz w:val="32"/>
          <w:szCs w:val="32"/>
        </w:rPr>
        <w:t>资浮动、基数调整、人员变动。</w:t>
      </w:r>
    </w:p>
    <w:p>
      <w:pPr>
        <w:ind w:firstLine="645"/>
        <w:rPr>
          <w:rFonts w:ascii="仿宋_GB2312" w:eastAsia="仿宋_GB2312"/>
          <w:sz w:val="32"/>
          <w:szCs w:val="32"/>
        </w:rPr>
      </w:pPr>
      <w:r>
        <w:rPr>
          <w:rFonts w:hint="eastAsia" w:ascii="仿宋_GB2312" w:eastAsia="仿宋_GB2312"/>
          <w:sz w:val="32"/>
          <w:szCs w:val="32"/>
        </w:rPr>
        <w:t>7、卫生健康支出（类）行政事业单位医疗（款）公务员医疗补助（项）2023年预算数为21.36万元，比上年增加0.67万元，增长3.24%。主要是</w:t>
      </w:r>
      <w:r>
        <w:rPr>
          <w:rFonts w:hint="eastAsia" w:ascii="仿宋_GB2312" w:eastAsia="仿宋_GB2312"/>
          <w:sz w:val="32"/>
          <w:szCs w:val="32"/>
          <w:lang w:eastAsia="zh-CN"/>
        </w:rPr>
        <w:t>工</w:t>
      </w:r>
      <w:r>
        <w:rPr>
          <w:rFonts w:hint="eastAsia" w:ascii="仿宋_GB2312" w:eastAsia="仿宋_GB2312"/>
          <w:sz w:val="32"/>
          <w:szCs w:val="32"/>
        </w:rPr>
        <w:t>资浮动、基数调整、人员变动。</w:t>
      </w:r>
    </w:p>
    <w:p>
      <w:pPr>
        <w:ind w:firstLine="645"/>
        <w:rPr>
          <w:rFonts w:ascii="仿宋_GB2312" w:eastAsia="仿宋_GB2312"/>
          <w:sz w:val="32"/>
          <w:szCs w:val="32"/>
        </w:rPr>
      </w:pPr>
      <w:r>
        <w:rPr>
          <w:rFonts w:hint="eastAsia" w:ascii="仿宋_GB2312" w:eastAsia="仿宋_GB2312"/>
          <w:sz w:val="32"/>
          <w:szCs w:val="32"/>
        </w:rPr>
        <w:t>8、自然资源海洋气象等支出（类）自然资源事务（款）行政运行（项）2023年预算数为487.05万元，比上年增加14.20万元，增长3.00%。主要是预算项目增加。</w:t>
      </w:r>
    </w:p>
    <w:p>
      <w:pPr>
        <w:ind w:firstLine="645"/>
        <w:rPr>
          <w:rFonts w:ascii="仿宋_GB2312" w:eastAsia="仿宋_GB2312"/>
          <w:sz w:val="32"/>
          <w:szCs w:val="32"/>
        </w:rPr>
      </w:pPr>
      <w:r>
        <w:rPr>
          <w:rFonts w:hint="eastAsia" w:ascii="仿宋_GB2312" w:eastAsia="仿宋_GB2312"/>
          <w:sz w:val="32"/>
          <w:szCs w:val="32"/>
        </w:rPr>
        <w:t>9、自然资源海洋气象等支出（类）自然资源事务（款）一般行政管理事务（项）2023年预算数为645.07万元，比上年增加590.07万元，增长1072.85%。主要是预算项目增加。</w:t>
      </w:r>
    </w:p>
    <w:p>
      <w:pPr>
        <w:ind w:firstLine="645"/>
        <w:rPr>
          <w:rFonts w:ascii="仿宋_GB2312" w:eastAsia="仿宋_GB2312"/>
          <w:sz w:val="32"/>
          <w:szCs w:val="32"/>
        </w:rPr>
      </w:pPr>
      <w:r>
        <w:rPr>
          <w:rFonts w:hint="eastAsia" w:ascii="仿宋_GB2312" w:eastAsia="仿宋_GB2312"/>
          <w:sz w:val="32"/>
          <w:szCs w:val="32"/>
        </w:rPr>
        <w:t>10、自然资源海洋气象等支出（类）自然资源事务（款）自然资源规划及管理（项）2023年预算数为50.00万元，比上年增加50.00万元，增长100.00%。主要是湟源县进出平衡方案编制费</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11、自然资源海洋气象等支出（类）自然资源事务（款）自然资源调查与确权登记（项）2023年预算数为363.55万元，比上年增加363.55万元，增长100.00%。主要是自然资源确权登记项目、集体土地所有权确权登记成果更新汇交入库项目、林权登记数据整合及调查项目</w:t>
      </w:r>
      <w:r>
        <w:rPr>
          <w:rFonts w:hint="eastAsia" w:ascii="仿宋_GB2312" w:eastAsia="仿宋_GB2312"/>
          <w:sz w:val="32"/>
          <w:szCs w:val="32"/>
          <w:lang w:eastAsia="zh-CN"/>
        </w:rPr>
        <w:t>增加</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12、住房保障支出（类）住房改革支出（款）住房公积金（项）2023年预算数为42.91万元，比上年增加11.82万元，增长38.02%。主要是工资浮动、人员变动。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湟源县自然资源局2023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湟源县自然资源局2023年一般公共预算基本支出656.67万元，其中：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628.93万元，主要包括：基本工资107.22万元、津贴补贴121.19万元、奖金38.65万元、绩效工资112.75万元、机关事业单位基本养老保险缴费45.94万元、职业年金缴费22.97万元、职工基本医疗保险缴费17.38万元、公务员医疗补助缴费21.36万元、其他社会保障缴费1.48万元、住房公积金42.91万元、其他工资福利支出39.50万元、退休费39.87万元、医疗费补助17.72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27.74万元，主要包括：办公费2.97万元、水费0.54万元、电费0.54万元、邮电费2.16万元、取暖费2.70万元、差旅费2.43万元、公务接待费0.81万元、工会经费5.34万元、公务用车运行维护费2.00万元、其他交通费用5.60万元、其他商品和服务支出2.64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湟源县自然资源局2023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湟源县自然资源局2023年一般公共预算“三公”经费预算数为2.81万元，比上年增加0.97万元，其中：因公出国（境）费0.00万元，增加0.00万元；公务用车购置及运行费2.00万元，增加1.00万元；公务接待费0.81万元，减少0.03万元。2023年“三公”经费预算比上年增加</w:t>
      </w:r>
      <w:r>
        <w:rPr>
          <w:rFonts w:hint="eastAsia" w:ascii="仿宋_GB2312" w:eastAsia="仿宋_GB2312"/>
          <w:sz w:val="32"/>
          <w:szCs w:val="32"/>
          <w:lang w:eastAsia="zh-CN"/>
        </w:rPr>
        <w:t>，</w:t>
      </w:r>
      <w:r>
        <w:rPr>
          <w:rFonts w:hint="eastAsia" w:ascii="仿宋_GB2312" w:eastAsia="仿宋_GB2312"/>
          <w:sz w:val="32"/>
          <w:szCs w:val="32"/>
        </w:rPr>
        <w:t>主要是</w:t>
      </w:r>
      <w:r>
        <w:rPr>
          <w:rFonts w:hint="eastAsia" w:ascii="仿宋_GB2312" w:eastAsia="仿宋_GB2312"/>
          <w:sz w:val="32"/>
          <w:szCs w:val="32"/>
          <w:lang w:eastAsia="zh-CN"/>
        </w:rPr>
        <w:t>本年</w:t>
      </w:r>
      <w:r>
        <w:rPr>
          <w:rFonts w:hint="eastAsia" w:ascii="仿宋_GB2312" w:eastAsia="仿宋_GB2312"/>
          <w:sz w:val="32"/>
          <w:szCs w:val="32"/>
        </w:rPr>
        <w:t>新增一辆公务用车</w:t>
      </w:r>
      <w:r>
        <w:rPr>
          <w:rFonts w:hint="eastAsia" w:ascii="仿宋_GB2312" w:eastAsia="仿宋_GB2312"/>
          <w:sz w:val="32"/>
          <w:szCs w:val="32"/>
          <w:lang w:eastAsia="zh-CN"/>
        </w:rPr>
        <w:t>，</w:t>
      </w:r>
      <w:r>
        <w:rPr>
          <w:rFonts w:hint="eastAsia" w:ascii="仿宋_GB2312" w:eastAsia="仿宋_GB2312"/>
          <w:sz w:val="32"/>
          <w:szCs w:val="32"/>
        </w:rPr>
        <w:t>公务用车购置及运行费</w:t>
      </w:r>
      <w:r>
        <w:rPr>
          <w:rFonts w:hint="eastAsia" w:ascii="仿宋_GB2312" w:eastAsia="仿宋_GB2312"/>
          <w:sz w:val="32"/>
          <w:szCs w:val="32"/>
          <w:lang w:eastAsia="zh-CN"/>
        </w:rPr>
        <w:t>增加。</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湟源县自然资源局2023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湟源县自然资源局2023年没有使用政府性基金预算拨款安排的支出。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2023年湟源县自然资源局机关运行经费财政拨款预算27.74万元，比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年预算增加0.87万元，增长3.24%。主要是新增一辆公车。</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2023年湟源县自然资源局各单位政府采购预算总额0万元，其中：政府采购货物预算0万元、政府采购工程预算0万元、政府采购服务预算0万元。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自然资源局所属各预算单位共有车辆2辆，其中，省级领导干部用车0辆、厅级领导干部用车0辆、一般公务用车2辆、一般执法执勤用车0辆、特种专业技术用车0辆、其他用车0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台（套），单价100万元以上专用设备0台（套）。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2023年湟源县自然资源局预算均实行绩效目标管理，涉及项目21个，预算金额1098.62万元。</w:t>
      </w:r>
    </w:p>
    <w:p>
      <w:pPr>
        <w:jc w:val="center"/>
        <w:rPr>
          <w:rFonts w:ascii="仿宋_GB2312" w:eastAsia="仿宋_GB2312"/>
          <w:b/>
          <w:sz w:val="32"/>
          <w:szCs w:val="32"/>
        </w:rPr>
      </w:pPr>
    </w:p>
    <w:tbl>
      <w:tblPr>
        <w:tblStyle w:val="6"/>
        <w:tblW w:w="10246" w:type="dxa"/>
        <w:jc w:val="center"/>
        <w:tblLayout w:type="fixed"/>
        <w:tblCellMar>
          <w:top w:w="0" w:type="dxa"/>
          <w:left w:w="108" w:type="dxa"/>
          <w:bottom w:w="0" w:type="dxa"/>
          <w:right w:w="108" w:type="dxa"/>
        </w:tblCellMar>
      </w:tblPr>
      <w:tblGrid>
        <w:gridCol w:w="1134"/>
        <w:gridCol w:w="881"/>
        <w:gridCol w:w="1819"/>
        <w:gridCol w:w="994"/>
        <w:gridCol w:w="1050"/>
        <w:gridCol w:w="1481"/>
        <w:gridCol w:w="962"/>
        <w:gridCol w:w="937"/>
        <w:gridCol w:w="988"/>
      </w:tblGrid>
      <w:tr>
        <w:tblPrEx>
          <w:tblCellMar>
            <w:top w:w="0" w:type="dxa"/>
            <w:left w:w="108" w:type="dxa"/>
            <w:bottom w:w="0" w:type="dxa"/>
            <w:right w:w="108" w:type="dxa"/>
          </w:tblCellMar>
        </w:tblPrEx>
        <w:trPr>
          <w:trHeight w:val="420" w:hRule="atLeast"/>
          <w:jc w:val="center"/>
        </w:trPr>
        <w:tc>
          <w:tcPr>
            <w:tcW w:w="10246"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3834"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2"/>
                <w:szCs w:val="22"/>
              </w:rPr>
            </w:pPr>
            <w:r>
              <w:rPr>
                <w:rFonts w:ascii="宋体" w:hAnsi="宋体" w:cs="宋体"/>
                <w:b/>
                <w:bCs/>
                <w:color w:val="000000"/>
                <w:kern w:val="0"/>
                <w:sz w:val="22"/>
                <w:szCs w:val="22"/>
              </w:rPr>
              <w:t>预算年度：2023</w:t>
            </w:r>
          </w:p>
        </w:tc>
        <w:tc>
          <w:tcPr>
            <w:tcW w:w="994" w:type="dxa"/>
            <w:tcBorders>
              <w:top w:val="nil"/>
              <w:left w:val="nil"/>
              <w:bottom w:val="nil"/>
              <w:right w:val="nil"/>
            </w:tcBorders>
            <w:shd w:val="clear" w:color="auto" w:fill="auto"/>
            <w:vAlign w:val="center"/>
          </w:tcPr>
          <w:p>
            <w:pPr>
              <w:rPr>
                <w:rFonts w:ascii="宋体" w:hAnsi="宋体" w:cs="宋体"/>
                <w:b/>
                <w:bCs/>
                <w:color w:val="000000"/>
                <w:sz w:val="18"/>
                <w:szCs w:val="18"/>
              </w:rPr>
            </w:pPr>
          </w:p>
        </w:tc>
        <w:tc>
          <w:tcPr>
            <w:tcW w:w="1050" w:type="dxa"/>
            <w:tcBorders>
              <w:top w:val="nil"/>
              <w:left w:val="nil"/>
              <w:bottom w:val="nil"/>
              <w:right w:val="nil"/>
            </w:tcBorders>
            <w:shd w:val="clear" w:color="auto" w:fill="auto"/>
            <w:vAlign w:val="center"/>
          </w:tcPr>
          <w:p>
            <w:pPr>
              <w:rPr>
                <w:rFonts w:ascii="宋体" w:hAnsi="宋体" w:cs="宋体"/>
                <w:b/>
                <w:bCs/>
                <w:color w:val="000000"/>
                <w:sz w:val="18"/>
                <w:szCs w:val="18"/>
              </w:rPr>
            </w:pPr>
          </w:p>
        </w:tc>
        <w:tc>
          <w:tcPr>
            <w:tcW w:w="1481" w:type="dxa"/>
            <w:tcBorders>
              <w:top w:val="nil"/>
              <w:left w:val="nil"/>
              <w:bottom w:val="nil"/>
              <w:right w:val="nil"/>
            </w:tcBorders>
            <w:shd w:val="clear" w:color="auto" w:fill="auto"/>
            <w:vAlign w:val="center"/>
          </w:tcPr>
          <w:p>
            <w:pPr>
              <w:rPr>
                <w:rFonts w:ascii="宋体" w:hAnsi="宋体" w:cs="宋体"/>
                <w:b/>
                <w:bCs/>
                <w:color w:val="000000"/>
                <w:sz w:val="18"/>
                <w:szCs w:val="18"/>
              </w:rPr>
            </w:pPr>
          </w:p>
        </w:tc>
        <w:tc>
          <w:tcPr>
            <w:tcW w:w="962" w:type="dxa"/>
            <w:tcBorders>
              <w:top w:val="nil"/>
              <w:left w:val="nil"/>
              <w:bottom w:val="nil"/>
              <w:right w:val="nil"/>
            </w:tcBorders>
            <w:shd w:val="clear" w:color="auto" w:fill="auto"/>
            <w:vAlign w:val="center"/>
          </w:tcPr>
          <w:p>
            <w:pPr>
              <w:jc w:val="center"/>
              <w:rPr>
                <w:rFonts w:ascii="宋体" w:hAnsi="宋体" w:cs="宋体"/>
                <w:b/>
                <w:bCs/>
                <w:color w:val="000000"/>
                <w:sz w:val="18"/>
                <w:szCs w:val="18"/>
              </w:rPr>
            </w:pPr>
          </w:p>
        </w:tc>
        <w:tc>
          <w:tcPr>
            <w:tcW w:w="1925"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22"/>
                <w:szCs w:val="22"/>
              </w:rPr>
            </w:pPr>
            <w:r>
              <w:rPr>
                <w:rFonts w:ascii="宋体" w:hAnsi="宋体" w:cs="宋体"/>
                <w:b/>
                <w:bCs/>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一级</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二级</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征地工作经费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征地工作经费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征地工作经费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万元</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征地工作经费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万元</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征地工作经费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万元</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自然资源业务费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自然资源业务费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自然资源业务费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自然资源业务费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自然资源业务费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不动产工作经费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不动产工作经费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不动产工作经费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不动产工作经费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不动产工作经费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土地监察执法费用</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土地监察执法费用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土地监察执法费用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土地监察执法费用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土地监察执法费用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地质灾害防治经费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19.00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地质灾害防治经费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地质灾害防治经费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批次</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地质灾害防治经费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批次</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地质灾害防治经费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批次</w:t>
            </w:r>
          </w:p>
        </w:tc>
      </w:tr>
      <w:tr>
        <w:tblPrEx>
          <w:tblCellMar>
            <w:top w:w="0" w:type="dxa"/>
            <w:left w:w="108" w:type="dxa"/>
            <w:bottom w:w="0" w:type="dxa"/>
            <w:right w:w="108" w:type="dxa"/>
          </w:tblCellMar>
        </w:tblPrEx>
        <w:trPr>
          <w:trHeight w:val="84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湟源县进出平衡方案编制费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50.00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湟源县进出平衡方案编制费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湟源县进出平衡方案编制费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亩</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湟源县进出平衡方案编制费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亩</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湟源县进出平衡方案编制费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亩</w:t>
            </w:r>
          </w:p>
        </w:tc>
      </w:tr>
      <w:tr>
        <w:tblPrEx>
          <w:tblCellMar>
            <w:top w:w="0" w:type="dxa"/>
            <w:left w:w="108" w:type="dxa"/>
            <w:bottom w:w="0" w:type="dxa"/>
            <w:right w:w="108" w:type="dxa"/>
          </w:tblCellMar>
        </w:tblPrEx>
        <w:trPr>
          <w:trHeight w:val="84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耕地非农化图斑测绘费用</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耕地非农化图斑测绘费用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耕地非农化图斑测绘费用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元/平方米</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耕地非农化图斑测绘费用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元/平方米</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耕地非农化图斑测绘费用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元/平方米</w:t>
            </w:r>
          </w:p>
        </w:tc>
      </w:tr>
      <w:tr>
        <w:tblPrEx>
          <w:tblCellMar>
            <w:top w:w="0" w:type="dxa"/>
            <w:left w:w="108" w:type="dxa"/>
            <w:bottom w:w="0" w:type="dxa"/>
            <w:right w:w="108" w:type="dxa"/>
          </w:tblCellMar>
        </w:tblPrEx>
        <w:trPr>
          <w:trHeight w:val="112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湟源县“互联网+不动产登记”</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60.00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湟源县“互联网+不动产登记”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湟源县“互联网+不动产登记”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湟源县“互联网+不动产登记”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湟源县“互联网+不动产登记”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w:t>
            </w:r>
          </w:p>
        </w:tc>
      </w:tr>
      <w:tr>
        <w:tblPrEx>
          <w:tblCellMar>
            <w:top w:w="0" w:type="dxa"/>
            <w:left w:w="108" w:type="dxa"/>
            <w:bottom w:w="0" w:type="dxa"/>
            <w:right w:w="108" w:type="dxa"/>
          </w:tblCellMar>
        </w:tblPrEx>
        <w:trPr>
          <w:trHeight w:val="112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湟源县不动产信息平台建设服务</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80.70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湟源县不动产信息平台建设服务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湟源县不动产信息平台建设服务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湟源县不动产信息平台建设服务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湟源县不动产信息平台建设服务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84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不动产登记平台技术服务费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不动产登记平台技术服务费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不动产登记平台技术服务费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不动产登记平台技术服务费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不动产登记平台技术服务费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优良中低差</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112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林权登记数据整合及调查项目</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136.55</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林权登记数据整合及调查项目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林权登记数据整合及调查项目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林权登记数据整合及调查项目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林权登记数据整合及调查项目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84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自然资源确权登记项目</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自然资源确权登记项目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自然资源确权登记项目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自然资源确权登记项目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自然资源确权登记项目</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40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集体土地所有权确权登记成果更新、汇交入库</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77.00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集体土地所有权确权登记成果更新、汇交入库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集体土地所有权确权登记成果更新、汇交入库</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140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集体土地所有权确权登记成果更新、汇交入库</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140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集体土地所有权确权登记成果更新、汇交入库</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84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土地招拍挂前期费用</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土地招拍挂前期费用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土地招拍挂前期费用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批次</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土地招拍挂前期费用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批次</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土地招拍挂前期费用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批次</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人防专项规划</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3.94</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人防专项规划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人防专项规划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人防专项规划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人防专项规划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元/年</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城市体检费</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30.00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城市体检费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城市体检费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期/年</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城市体检费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期/年</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城市体检费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期/年</w:t>
            </w:r>
          </w:p>
        </w:tc>
      </w:tr>
      <w:tr>
        <w:tblPrEx>
          <w:tblCellMar>
            <w:top w:w="0" w:type="dxa"/>
            <w:left w:w="108" w:type="dxa"/>
            <w:bottom w:w="0" w:type="dxa"/>
            <w:right w:w="108" w:type="dxa"/>
          </w:tblCellMar>
        </w:tblPrEx>
        <w:trPr>
          <w:trHeight w:val="140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湟源县城镇开发边界内控制性详细规划</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220.03</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湟源县城镇开发边界内控制性详细规划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湟源县城镇开发边界内控制性详细规划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40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湟源县城镇开发边界内控制性详细规划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40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湟源县城镇开发边界内控制性详细规划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28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诉讼费用</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15.00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诉讼费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诉讼案件</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人/次</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诉讼费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人/次</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诉讼费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人次</w:t>
            </w:r>
          </w:p>
        </w:tc>
      </w:tr>
      <w:tr>
        <w:tblPrEx>
          <w:tblCellMar>
            <w:top w:w="0" w:type="dxa"/>
            <w:left w:w="108" w:type="dxa"/>
            <w:bottom w:w="0" w:type="dxa"/>
            <w:right w:w="108" w:type="dxa"/>
          </w:tblCellMar>
        </w:tblPrEx>
        <w:trPr>
          <w:trHeight w:val="112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小型地质灾害隐患应急治理费用</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100.00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小型地质灾害隐患应急治理费用</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小型地质灾害隐患应急治理费用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元/个</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小型地质灾害隐患应急治理费用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元/个</w:t>
            </w:r>
          </w:p>
        </w:tc>
      </w:tr>
      <w:tr>
        <w:tblPrEx>
          <w:tblCellMar>
            <w:top w:w="0" w:type="dxa"/>
            <w:left w:w="108" w:type="dxa"/>
            <w:bottom w:w="0" w:type="dxa"/>
            <w:right w:w="108" w:type="dxa"/>
          </w:tblCellMar>
        </w:tblPrEx>
        <w:trPr>
          <w:trHeight w:val="11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小型地质灾害隐患应急治理费用</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元/个</w:t>
            </w:r>
          </w:p>
        </w:tc>
      </w:tr>
      <w:tr>
        <w:tblPrEx>
          <w:tblCellMar>
            <w:top w:w="0" w:type="dxa"/>
            <w:left w:w="108" w:type="dxa"/>
            <w:bottom w:w="0" w:type="dxa"/>
            <w:right w:w="108" w:type="dxa"/>
          </w:tblCellMar>
        </w:tblPrEx>
        <w:trPr>
          <w:trHeight w:val="140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湟源县集体建设用地及房产补充调查工作</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44.40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湟源县集体建设用地及房产补充调查工作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湟源县集体建设用地及房产补充调查工作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40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湟源县集体建设用地及房产补充调查工作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140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湟源县集体建设用地及房产补充调查工作</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560"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实用性村庄规划</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7.00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实用性村庄规划</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实用性村庄规划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万元/村</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经济效益指标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实用性村庄规划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万元/村</w:t>
            </w:r>
          </w:p>
        </w:tc>
      </w:tr>
      <w:tr>
        <w:tblPrEx>
          <w:tblCellMar>
            <w:top w:w="0" w:type="dxa"/>
            <w:left w:w="108" w:type="dxa"/>
            <w:bottom w:w="0" w:type="dxa"/>
            <w:right w:w="108" w:type="dxa"/>
          </w:tblCellMar>
        </w:tblPrEx>
        <w:trPr>
          <w:trHeight w:val="84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rPr>
              <w:t>实用性村庄规划</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万元/村</w:t>
            </w:r>
          </w:p>
        </w:tc>
      </w:tr>
    </w:tbl>
    <w:p>
      <w:pPr>
        <w:jc w:val="left"/>
        <w:rPr>
          <w:rFonts w:ascii="仿宋_GB2312" w:eastAsia="仿宋_GB2312"/>
          <w:b/>
          <w:sz w:val="32"/>
          <w:szCs w:val="32"/>
        </w:rPr>
      </w:pPr>
    </w:p>
    <w:p>
      <w:pPr>
        <w:jc w:val="center"/>
        <w:rPr>
          <w:rFonts w:ascii="仿宋_GB2312" w:eastAsia="仿宋_GB2312"/>
          <w:b/>
          <w:sz w:val="32"/>
          <w:szCs w:val="32"/>
        </w:rPr>
      </w:pPr>
    </w:p>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（三）社会保障和就业支出（类）行政事业单位养老支出（款）其他行政事业单位养老支出（项）：</w:t>
      </w:r>
      <w:r>
        <w:rPr>
          <w:rFonts w:hint="eastAsia" w:ascii="仿宋_GB2312" w:hAnsi="仿宋" w:eastAsia="仿宋_GB2312"/>
          <w:bCs/>
          <w:spacing w:val="-6"/>
          <w:sz w:val="32"/>
          <w:szCs w:val="32"/>
        </w:rPr>
        <w:t>反映除上述项目以外其他用于行政事业单位养老方面的支出。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（四）社会保障和就业支出（类）其他社会保障和就业支出（款）其他社会保障和就业支出（项）：</w:t>
      </w:r>
      <w:r>
        <w:rPr>
          <w:rFonts w:hint="eastAsia" w:ascii="仿宋_GB2312" w:hAnsi="仿宋" w:eastAsia="仿宋_GB2312"/>
          <w:bCs/>
          <w:spacing w:val="-6"/>
          <w:sz w:val="32"/>
          <w:szCs w:val="32"/>
        </w:rPr>
        <w:t>反映</w:t>
      </w:r>
      <w:r>
        <w:rPr>
          <w:rFonts w:hint="eastAsia" w:ascii="仿宋_GB2312" w:eastAsia="仿宋_GB2312"/>
          <w:sz w:val="32"/>
          <w:szCs w:val="32"/>
        </w:rPr>
        <w:t>除上述项目以外其他用于社会保障和就业方面的支出。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（五）卫生健康支出（类）行政事业单位医疗（款）行政单位医疗（项）：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（六）卫生健康支出（类）行政事业单位医疗（款）事业单位医疗（项）：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（七）卫生健康支出（类）行政事业单位医疗（款）公务员医疗补助（项）：</w:t>
      </w:r>
      <w:r>
        <w:rPr>
          <w:rFonts w:hint="eastAsia" w:ascii="仿宋_GB2312" w:eastAsia="仿宋_GB2312"/>
          <w:sz w:val="32"/>
          <w:szCs w:val="32"/>
        </w:rPr>
        <w:t>反映财政部门安排的公务员医疗补助经费。</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（八）自然资源海洋气象等支出（类）自然资源事务（款）行政运行（项）：</w:t>
      </w:r>
      <w:r>
        <w:rPr>
          <w:rFonts w:hint="eastAsia" w:ascii="仿宋_GB2312" w:eastAsia="仿宋_GB2312"/>
          <w:sz w:val="32"/>
          <w:szCs w:val="32"/>
        </w:rPr>
        <w:t>反映行政单位（包括实行公务员管理的事业单位）的基本支出。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（九）自然资源海洋气象等支出（类）自然资源事务（款）一般行政管理事务（项）：</w:t>
      </w:r>
      <w:r>
        <w:rPr>
          <w:rFonts w:hint="eastAsia" w:ascii="仿宋_GB2312" w:hAnsi="仿宋" w:eastAsia="仿宋_GB2312"/>
          <w:bCs/>
          <w:spacing w:val="-6"/>
          <w:sz w:val="32"/>
          <w:szCs w:val="32"/>
        </w:rPr>
        <w:t>反映行政单位(包括实行公务员管理的事业单位)未单独设置项级科目的其他项目支出。</w:t>
      </w:r>
    </w:p>
    <w:p>
      <w:pPr>
        <w:ind w:firstLine="619" w:firstLineChars="200"/>
        <w:rPr>
          <w:rFonts w:ascii="仿宋_GB2312" w:hAnsi="仿宋" w:eastAsia="仿宋_GB2312"/>
          <w:bCs/>
          <w:spacing w:val="-6"/>
          <w:sz w:val="32"/>
          <w:szCs w:val="32"/>
        </w:rPr>
      </w:pPr>
      <w:r>
        <w:rPr>
          <w:rFonts w:hint="eastAsia" w:ascii="仿宋_GB2312" w:hAnsi="仿宋" w:eastAsia="仿宋_GB2312"/>
          <w:b/>
          <w:spacing w:val="-6"/>
          <w:sz w:val="32"/>
          <w:szCs w:val="32"/>
        </w:rPr>
        <w:t>（十）自然资源海洋气象等支出（类）自然资源事务（款）自然资源规划及管理（项）：</w:t>
      </w:r>
      <w:r>
        <w:rPr>
          <w:rFonts w:hint="eastAsia" w:ascii="仿宋_GB2312" w:hAnsi="仿宋" w:eastAsia="仿宋_GB2312"/>
          <w:bCs/>
          <w:spacing w:val="-6"/>
          <w:sz w:val="32"/>
          <w:szCs w:val="32"/>
        </w:rPr>
        <w:t>反映用于国土空间规划、国土空间开发适宜性评价等方面的支出。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（十一）自然资源海洋气象等支出（类）自然资源事务（款）自然资源调查与确权登记（项）：</w:t>
      </w:r>
      <w:r>
        <w:rPr>
          <w:rFonts w:hint="eastAsia" w:ascii="仿宋_GB2312" w:hAnsi="仿宋" w:eastAsia="仿宋_GB2312"/>
          <w:bCs/>
          <w:spacing w:val="-6"/>
          <w:sz w:val="32"/>
          <w:szCs w:val="32"/>
        </w:rPr>
        <w:t>反映自然资源部门用于自然资源调查监测评价，自然资源统确权登记等方面的支出。</w:t>
      </w:r>
    </w:p>
    <w:p>
      <w:pPr>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（十二）住房保障支出（类）住房改革支出（款）住房公积金（项）：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bookmarkStart w:id="6" w:name="_GoBack"/>
      <w:bookmarkEnd w:id="6"/>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29</w:t>
    </w:r>
    <w:r>
      <w:rPr>
        <w:rStyle w:val="8"/>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8595D"/>
    <w:multiLevelType w:val="singleLevel"/>
    <w:tmpl w:val="D63859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DcxZWQwMDZhNTQyNWI2NDBlZjQ4NmEyMGY4YWIifQ=="/>
  </w:docVars>
  <w:rsids>
    <w:rsidRoot w:val="004769B4"/>
    <w:rsid w:val="00186D04"/>
    <w:rsid w:val="004769B4"/>
    <w:rsid w:val="004E6453"/>
    <w:rsid w:val="005407C8"/>
    <w:rsid w:val="00623277"/>
    <w:rsid w:val="00800D52"/>
    <w:rsid w:val="00A44F5A"/>
    <w:rsid w:val="00CC1B9D"/>
    <w:rsid w:val="00E373AD"/>
    <w:rsid w:val="00ED55B1"/>
    <w:rsid w:val="30ED78B3"/>
    <w:rsid w:val="3C81221D"/>
    <w:rsid w:val="44D17223"/>
    <w:rsid w:val="4E9C386D"/>
    <w:rsid w:val="51D2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semiHidden/>
    <w:qFormat/>
    <w:uiPriority w:val="99"/>
    <w:rPr>
      <w:rFonts w:ascii="Times New Roman" w:hAnsi="Times New Roman"/>
      <w:kern w:val="2"/>
      <w:sz w:val="18"/>
      <w:szCs w:val="18"/>
    </w:rPr>
  </w:style>
  <w:style w:type="character" w:customStyle="1" w:styleId="10">
    <w:name w:val="页脚 Char"/>
    <w:link w:val="4"/>
    <w:qFormat/>
    <w:uiPriority w:val="99"/>
    <w:rPr>
      <w:rFonts w:ascii="Times New Roman" w:hAnsi="Times New Roman"/>
      <w:kern w:val="2"/>
      <w:sz w:val="18"/>
      <w:szCs w:val="18"/>
    </w:rPr>
  </w:style>
  <w:style w:type="character" w:customStyle="1" w:styleId="11">
    <w:name w:val="页眉 Char"/>
    <w:link w:val="5"/>
    <w:qFormat/>
    <w:uiPriority w:val="99"/>
    <w:rPr>
      <w:rFonts w:ascii="Times New Roman" w:hAnsi="Times New Roman"/>
      <w:kern w:val="2"/>
      <w:sz w:val="18"/>
      <w:szCs w:val="18"/>
    </w:rPr>
  </w:style>
  <w:style w:type="paragraph" w:styleId="12">
    <w:name w:val="List Paragraph"/>
    <w:basedOn w:val="1"/>
    <w:qFormat/>
    <w:uiPriority w:val="34"/>
    <w:pPr>
      <w:ind w:firstLine="420" w:firstLineChars="200"/>
    </w:pPr>
  </w:style>
  <w:style w:type="paragraph" w:styleId="13">
    <w:name w:val="No Spacing"/>
    <w:link w:val="14"/>
    <w:qFormat/>
    <w:uiPriority w:val="0"/>
    <w:rPr>
      <w:rFonts w:ascii="Calibri" w:hAnsi="Calibri" w:eastAsia="宋体" w:cs="Times New Roman"/>
      <w:sz w:val="22"/>
      <w:szCs w:val="22"/>
      <w:lang w:val="en-US" w:eastAsia="zh-CN" w:bidi="ar-SA"/>
    </w:rPr>
  </w:style>
  <w:style w:type="character" w:customStyle="1" w:styleId="14">
    <w:name w:val="无间隔 Char"/>
    <w:link w:val="13"/>
    <w:qFormat/>
    <w:uiPriority w:val="0"/>
    <w:rPr>
      <w:sz w:val="22"/>
      <w:szCs w:val="22"/>
      <w:lang w:bidi="ar-SA"/>
    </w:rPr>
  </w:style>
  <w:style w:type="paragraph" w:customStyle="1" w:styleId="15">
    <w:name w:val="正文1"/>
    <w:basedOn w:val="1"/>
    <w:qFormat/>
    <w:uiPriority w:val="0"/>
    <w:pPr>
      <w:widowControl/>
    </w:pPr>
    <w:rPr>
      <w:rFonts w:eastAsia="Times New Roman"/>
      <w:kern w:val="0"/>
      <w:lang w:val="zh-CN"/>
    </w:rPr>
  </w:style>
  <w:style w:type="character" w:customStyle="1" w:styleId="16">
    <w:name w:val="font6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9196</Words>
  <Characters>10981</Characters>
  <Lines>92</Lines>
  <Paragraphs>26</Paragraphs>
  <TotalTime>7</TotalTime>
  <ScaleCrop>false</ScaleCrop>
  <LinksUpToDate>false</LinksUpToDate>
  <CharactersWithSpaces>11087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梓嶽子</cp:lastModifiedBy>
  <cp:lastPrinted>2021-01-31T19:43:00Z</cp:lastPrinted>
  <dcterms:modified xsi:type="dcterms:W3CDTF">2023-06-07T08:26:32Z</dcterms:modified>
  <dc:title>×××部门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F013FA9126C74A5BBF017461635228C0_13</vt:lpwstr>
  </property>
</Properties>
</file>