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4"/>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4"/>
              <w:jc w:val="center"/>
              <w:rPr>
                <w:rFonts w:ascii="Cambria" w:hAnsi="Cambria"/>
                <w:b/>
                <w:sz w:val="80"/>
                <w:szCs w:val="80"/>
              </w:rPr>
            </w:pPr>
            <w:bookmarkStart w:id="6" w:name="_GoBack"/>
            <w:r>
              <w:rPr>
                <w:rFonts w:hint="eastAsia" w:ascii="Cambria" w:hAnsi="Cambria"/>
                <w:b/>
                <w:sz w:val="80"/>
                <w:szCs w:val="80"/>
                <w:lang w:val="en-US" w:eastAsia="zh-CN"/>
              </w:rPr>
              <w:t>湟源县畜牧兽医站</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4"/>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4"/>
              <w:jc w:val="center"/>
            </w:pPr>
          </w:p>
        </w:tc>
      </w:tr>
    </w:tbl>
    <w:p/>
    <w:tbl>
      <w:tblPr>
        <w:tblStyle w:val="7"/>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4"/>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bookmarkEnd w:id="6"/>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（一）湟源县畜牧兽医站以服务为宗旨，发展畜牧业为目的，不断提高服务质量，推动当地畜牧业健康发展</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重大动物疾病防控工作</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动物疫情监测</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动物及动物产品检疫</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畜禽品种改良</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畜产品质量安全监管</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eastAsia="仿宋_GB2312"/>
          <w:sz w:val="32"/>
          <w:szCs w:val="32"/>
        </w:rPr>
        <w:t>农牧业科技推广</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w:t>
      </w:r>
      <w:r>
        <w:rPr>
          <w:rFonts w:hint="eastAsia" w:ascii="仿宋_GB2312" w:eastAsia="仿宋_GB2312"/>
          <w:sz w:val="32"/>
          <w:szCs w:val="32"/>
        </w:rPr>
        <w:t>农牧民科技培训。</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湟源县畜牧兽医站</w:t>
      </w:r>
      <w:r>
        <w:rPr>
          <w:rFonts w:hint="eastAsia" w:ascii="仿宋_GB2312" w:eastAsia="仿宋_GB2312"/>
          <w:sz w:val="32"/>
          <w:szCs w:val="32"/>
        </w:rPr>
        <w:t>内机构设置：综合办公室、财务室、</w:t>
      </w:r>
      <w:r>
        <w:rPr>
          <w:rFonts w:hint="eastAsia" w:ascii="仿宋_GB2312" w:eastAsia="仿宋_GB2312"/>
          <w:sz w:val="32"/>
          <w:szCs w:val="32"/>
          <w:lang w:val="en-US" w:eastAsia="zh-CN"/>
        </w:rPr>
        <w:t>项目</w:t>
      </w:r>
      <w:r>
        <w:rPr>
          <w:rFonts w:hint="eastAsia" w:ascii="仿宋_GB2312" w:eastAsia="仿宋_GB2312"/>
          <w:sz w:val="32"/>
          <w:szCs w:val="32"/>
        </w:rPr>
        <w:t>畜牧室、</w:t>
      </w:r>
      <w:r>
        <w:rPr>
          <w:rFonts w:hint="eastAsia" w:ascii="仿宋_GB2312" w:eastAsia="仿宋_GB2312"/>
          <w:sz w:val="32"/>
          <w:szCs w:val="32"/>
          <w:lang w:val="en-US" w:eastAsia="zh-CN"/>
        </w:rPr>
        <w:t>化验室</w:t>
      </w:r>
      <w:r>
        <w:rPr>
          <w:rFonts w:hint="eastAsia" w:ascii="仿宋_GB2312" w:eastAsia="仿宋_GB2312"/>
          <w:sz w:val="32"/>
          <w:szCs w:val="32"/>
          <w:lang w:eastAsia="zh-CN"/>
        </w:rPr>
        <w:t>、</w:t>
      </w:r>
      <w:r>
        <w:rPr>
          <w:rFonts w:hint="eastAsia" w:ascii="仿宋_GB2312" w:eastAsia="仿宋_GB2312"/>
          <w:sz w:val="32"/>
          <w:szCs w:val="32"/>
          <w:lang w:val="en-US" w:eastAsia="zh-CN"/>
        </w:rPr>
        <w:t>检疫办公室</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年12月在职人员为</w:t>
      </w:r>
      <w:r>
        <w:rPr>
          <w:rFonts w:hint="eastAsia" w:ascii="仿宋_GB2312" w:eastAsia="仿宋_GB2312"/>
          <w:sz w:val="32"/>
          <w:szCs w:val="32"/>
          <w:lang w:val="en-US" w:eastAsia="zh-CN"/>
        </w:rPr>
        <w:t>69</w:t>
      </w:r>
      <w:r>
        <w:rPr>
          <w:rFonts w:hint="eastAsia" w:ascii="仿宋_GB2312" w:eastAsia="仿宋_GB2312"/>
          <w:sz w:val="32"/>
          <w:szCs w:val="32"/>
        </w:rPr>
        <w:t>人，</w:t>
      </w:r>
      <w:r>
        <w:rPr>
          <w:rFonts w:hint="eastAsia" w:ascii="仿宋_GB2312" w:eastAsia="仿宋_GB2312"/>
          <w:sz w:val="32"/>
          <w:szCs w:val="32"/>
          <w:lang w:val="en-US" w:eastAsia="zh-CN"/>
        </w:rPr>
        <w:t>其中</w:t>
      </w:r>
      <w:r>
        <w:rPr>
          <w:rFonts w:hint="eastAsia" w:ascii="仿宋_GB2312" w:eastAsia="仿宋_GB2312"/>
          <w:sz w:val="32"/>
          <w:szCs w:val="32"/>
        </w:rPr>
        <w:t>工</w:t>
      </w:r>
      <w:r>
        <w:rPr>
          <w:rFonts w:hint="eastAsia" w:ascii="仿宋_GB2312" w:eastAsia="仿宋_GB2312"/>
          <w:sz w:val="32"/>
          <w:szCs w:val="32"/>
          <w:lang w:val="en-US" w:eastAsia="zh-CN"/>
        </w:rPr>
        <w:t>人</w:t>
      </w:r>
      <w:r>
        <w:rPr>
          <w:rFonts w:hint="eastAsia" w:ascii="仿宋_GB2312" w:eastAsia="仿宋_GB2312"/>
          <w:sz w:val="32"/>
          <w:szCs w:val="32"/>
        </w:rPr>
        <w:t>1人</w:t>
      </w:r>
      <w:r>
        <w:rPr>
          <w:rFonts w:hint="eastAsia" w:ascii="仿宋_GB2312" w:eastAsia="仿宋_GB2312"/>
          <w:sz w:val="32"/>
          <w:szCs w:val="32"/>
          <w:lang w:eastAsia="zh-CN"/>
        </w:rPr>
        <w:t>，</w:t>
      </w:r>
      <w:r>
        <w:rPr>
          <w:rFonts w:hint="eastAsia" w:ascii="仿宋_GB2312" w:eastAsia="仿宋_GB2312"/>
          <w:sz w:val="32"/>
          <w:szCs w:val="32"/>
          <w:lang w:val="en-US" w:eastAsia="zh-CN"/>
        </w:rPr>
        <w:t>事业专技人员68人</w:t>
      </w:r>
      <w:r>
        <w:rPr>
          <w:rFonts w:hint="eastAsia" w:ascii="仿宋_GB2312" w:eastAsia="仿宋_GB2312"/>
          <w:sz w:val="32"/>
          <w:szCs w:val="32"/>
        </w:rPr>
        <w:t>。</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sz w:val="32"/>
          <w:szCs w:val="32"/>
          <w:u w:val="single"/>
          <w:lang w:val="en-US" w:eastAsia="zh-CN"/>
        </w:rPr>
      </w:pPr>
      <w:r>
        <w:rPr>
          <w:rFonts w:hint="eastAsia" w:ascii="仿宋_GB2312" w:eastAsia="仿宋_GB2312"/>
          <w:sz w:val="32"/>
          <w:szCs w:val="32"/>
          <w:lang w:val="en-US" w:eastAsia="zh-CN"/>
        </w:rPr>
        <w:t>纳入湟源县畜牧兽医站部门2023年部门预算编制范围的二级预算单位包括：</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7"/>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2212.03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316.50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156.28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1605.00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134.25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2212.03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2212.03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2212.03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2212.03</w:t>
            </w:r>
          </w:p>
        </w:tc>
      </w:tr>
    </w:tbl>
    <w:p>
      <w:pPr>
        <w:rPr>
          <w:rFonts w:hint="eastAsia" w:ascii="仿宋_GB2312" w:eastAsia="仿宋_GB2312"/>
          <w:sz w:val="32"/>
          <w:szCs w:val="32"/>
          <w:lang w:val="en-US" w:eastAsia="zh-CN"/>
        </w:rPr>
      </w:pPr>
    </w:p>
    <w:tbl>
      <w:tblPr>
        <w:tblStyle w:val="7"/>
        <w:tblpPr w:leftFromText="180" w:rightFromText="180" w:vertAnchor="text" w:horzAnchor="page" w:tblpXSpec="center" w:tblpY="618"/>
        <w:tblOverlap w:val="never"/>
        <w:tblW w:w="11663"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66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66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663"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2212.03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2212.03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湟源县农业农村局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2212.03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2212.03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湟源县畜牧兽医站</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2212.03</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2212.03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1750" w:type="dxa"/>
        <w:jc w:val="center"/>
        <w:tblLayout w:type="fixed"/>
        <w:tblCellMar>
          <w:top w:w="0" w:type="dxa"/>
          <w:left w:w="108" w:type="dxa"/>
          <w:bottom w:w="0" w:type="dxa"/>
          <w:right w:w="108" w:type="dxa"/>
        </w:tblCellMar>
      </w:tblPr>
      <w:tblGrid>
        <w:gridCol w:w="1100"/>
        <w:gridCol w:w="3858"/>
        <w:gridCol w:w="1132"/>
        <w:gridCol w:w="1132"/>
        <w:gridCol w:w="1132"/>
        <w:gridCol w:w="1132"/>
        <w:gridCol w:w="1132"/>
        <w:gridCol w:w="1132"/>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2212.03</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1958.33</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253.70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316.50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316.50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310.49</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310.49</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137.58</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137.58</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68.79</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68.79</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104.12</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104.12</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6.01</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6.01</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6.01</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6.01</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156.28</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156.28</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156.28</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156.28</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87.70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87.70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68.58</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68.58</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1605.00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1351.30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253.70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农业农村</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1605.00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1351.30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253.70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2130104</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事业运行</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1605.00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1351.30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253.70</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134.25</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134.25</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134.25</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134.25</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134.25</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134.25</w:t>
            </w: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7"/>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1133"/>
        <w:gridCol w:w="1884"/>
        <w:gridCol w:w="1250"/>
        <w:gridCol w:w="111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62"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396"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13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8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5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11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4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13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2212.03</w:t>
            </w: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2212.03</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2212.03</w:t>
            </w: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13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2212.03</w:t>
            </w: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316.50</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316.50</w:t>
            </w: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156.28</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156.28</w:t>
            </w: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1605.00</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1605.00</w:t>
            </w: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134.25</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134.25</w:t>
            </w: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133" w:type="dxa"/>
            <w:shd w:val="clear" w:color="auto" w:fill="FFFFFF"/>
            <w:noWrap/>
            <w:vAlign w:val="center"/>
          </w:tcPr>
          <w:p>
            <w:pPr>
              <w:widowControl/>
              <w:jc w:val="center"/>
              <w:rPr>
                <w:rFonts w:ascii="宋体" w:hAnsi="宋体" w:cs="宋体"/>
                <w:kern w:val="0"/>
                <w:sz w:val="20"/>
              </w:rPr>
            </w:pPr>
          </w:p>
        </w:tc>
        <w:tc>
          <w:tcPr>
            <w:tcW w:w="1884" w:type="dxa"/>
            <w:shd w:val="clear" w:color="auto" w:fill="FFFFFF"/>
            <w:noWrap/>
            <w:vAlign w:val="center"/>
          </w:tcPr>
          <w:p>
            <w:pPr>
              <w:widowControl/>
              <w:jc w:val="left"/>
              <w:rPr>
                <w:rFonts w:ascii="宋体" w:hAnsi="宋体" w:cs="宋体"/>
                <w:kern w:val="0"/>
                <w:sz w:val="20"/>
              </w:rPr>
            </w:pP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9"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13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2212.03</w:t>
            </w:r>
          </w:p>
        </w:tc>
        <w:tc>
          <w:tcPr>
            <w:tcW w:w="1884"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5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2212.03</w:t>
            </w:r>
          </w:p>
        </w:tc>
        <w:tc>
          <w:tcPr>
            <w:tcW w:w="111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2212.03</w:t>
            </w:r>
          </w:p>
        </w:tc>
        <w:tc>
          <w:tcPr>
            <w:tcW w:w="1146"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7"/>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849"/>
        <w:gridCol w:w="1370"/>
        <w:gridCol w:w="1370"/>
        <w:gridCol w:w="1371"/>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09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11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84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7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7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7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8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09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2212.03</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1958.33</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253.70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316.50</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316.50</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310.49</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310.49</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137.58</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137.58</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68.79</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68.79</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104.12</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104.12</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6.01</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6.01</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6.01</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6.01</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156.28</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156.28</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156.28</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156.28</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87.70</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87.70</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68.58</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68.58</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1605.00</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1351.30</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253.70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农业农村</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1605.00</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1351.30</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253.70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事业运行</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1605.00</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1351.30</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253.70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134.25</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134.25</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134.25</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134.25</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134.25</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134.25</w:t>
            </w:r>
          </w:p>
        </w:tc>
        <w:tc>
          <w:tcPr>
            <w:tcW w:w="137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1245" w:type="dxa"/>
        <w:jc w:val="center"/>
        <w:tblLayout w:type="fixed"/>
        <w:tblCellMar>
          <w:top w:w="0" w:type="dxa"/>
          <w:left w:w="108" w:type="dxa"/>
          <w:bottom w:w="0" w:type="dxa"/>
          <w:right w:w="108" w:type="dxa"/>
        </w:tblCellMar>
      </w:tblPr>
      <w:tblGrid>
        <w:gridCol w:w="650"/>
        <w:gridCol w:w="650"/>
        <w:gridCol w:w="3615"/>
        <w:gridCol w:w="2110"/>
        <w:gridCol w:w="2110"/>
        <w:gridCol w:w="2110"/>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91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33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61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11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11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11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6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91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1958.33</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1910.39</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47.93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1774.40</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1774.40</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336.41</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336.41</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360.34</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360.34</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453.62</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453.62</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137.58</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137.58</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68.79</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68.79</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55.82</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55.82</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68.58</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68.58</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6.01</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6.01</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134.25</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134.25</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153.00</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153.00</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47.93</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47.93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2.13</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3.55</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7.10</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2.84</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2.84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17.17</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17.17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7.20</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3.68</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136.00</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136.00</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96.53</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96.53</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7.59</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7.59</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31.88</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31.88</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399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61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7"/>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62"/>
            <w:bookmarkEnd w:id="2"/>
            <w:bookmarkStart w:id="3" w:name="RANGE!A1:F15"/>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8.64</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7.20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7.20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1.44</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8.62</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7.20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7.20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1.42</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湟源县畜牧兽医站2023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湟源县畜牧兽医站</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一般公共预算拨款收入2212.03万元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社会保障和就业支出316.50万元，卫生健康支出156.28万元，农林水支出1605.00万元，住房保障支出134.25万元</w:t>
      </w:r>
      <w:r>
        <w:rPr>
          <w:rFonts w:hint="eastAsia" w:ascii="仿宋_GB2312" w:eastAsia="仿宋_GB2312"/>
          <w:sz w:val="32"/>
          <w:szCs w:val="32"/>
        </w:rPr>
        <w:t>。</w:t>
      </w:r>
      <w:r>
        <w:rPr>
          <w:rFonts w:hint="eastAsia" w:ascii="仿宋_GB2312" w:eastAsia="仿宋_GB2312"/>
          <w:sz w:val="32"/>
          <w:szCs w:val="32"/>
          <w:lang w:val="en-US" w:eastAsia="zh-CN"/>
        </w:rPr>
        <w:t>湟源县畜牧兽医站2023</w:t>
      </w:r>
      <w:r>
        <w:rPr>
          <w:rFonts w:hint="eastAsia" w:ascii="仿宋_GB2312" w:eastAsia="仿宋_GB2312"/>
          <w:sz w:val="32"/>
          <w:szCs w:val="32"/>
        </w:rPr>
        <w:t>年收支总预算</w:t>
      </w:r>
      <w:r>
        <w:rPr>
          <w:rFonts w:hint="eastAsia" w:ascii="仿宋_GB2312" w:eastAsia="仿宋_GB2312"/>
          <w:sz w:val="32"/>
          <w:szCs w:val="32"/>
          <w:lang w:val="en-US" w:eastAsia="zh-CN"/>
        </w:rPr>
        <w:t>2212.03</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湟源县畜牧兽医站2023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湟源县畜牧兽医站2023</w:t>
      </w:r>
      <w:r>
        <w:rPr>
          <w:rFonts w:hint="eastAsia" w:ascii="仿宋_GB2312" w:eastAsia="仿宋_GB2312"/>
          <w:sz w:val="32"/>
          <w:szCs w:val="32"/>
        </w:rPr>
        <w:t>年收入预算</w:t>
      </w:r>
      <w:r>
        <w:rPr>
          <w:rFonts w:hint="eastAsia" w:ascii="仿宋_GB2312" w:eastAsia="仿宋_GB2312"/>
          <w:sz w:val="32"/>
          <w:szCs w:val="32"/>
          <w:lang w:val="en-US" w:eastAsia="zh-CN"/>
        </w:rPr>
        <w:t>2212.03</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一般公共预算拨款收入2212.03万元，占100.00%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2.7pt;width:353.7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湟源县畜牧兽医站2023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湟源县畜牧兽医站2023</w:t>
      </w:r>
      <w:r>
        <w:rPr>
          <w:rFonts w:hint="eastAsia" w:ascii="仿宋_GB2312" w:eastAsia="仿宋_GB2312"/>
          <w:sz w:val="32"/>
          <w:szCs w:val="32"/>
        </w:rPr>
        <w:t>年支出预算</w:t>
      </w:r>
      <w:r>
        <w:rPr>
          <w:rFonts w:hint="eastAsia" w:ascii="仿宋_GB2312" w:eastAsia="仿宋_GB2312"/>
          <w:sz w:val="32"/>
          <w:szCs w:val="32"/>
          <w:lang w:val="en-US" w:eastAsia="zh-CN"/>
        </w:rPr>
        <w:t>2212.03</w:t>
      </w:r>
      <w:r>
        <w:rPr>
          <w:rFonts w:hint="eastAsia" w:ascii="仿宋_GB2312" w:eastAsia="仿宋_GB2312"/>
          <w:sz w:val="32"/>
          <w:szCs w:val="32"/>
        </w:rPr>
        <w:t>万元，其中：</w:t>
      </w:r>
      <w:r>
        <w:rPr>
          <w:rFonts w:hint="eastAsia" w:ascii="仿宋_GB2312" w:eastAsia="仿宋_GB2312"/>
          <w:sz w:val="32"/>
          <w:szCs w:val="32"/>
          <w:lang w:val="en-US" w:eastAsia="zh-CN"/>
        </w:rPr>
        <w:t>基本支出1958.33万元，占88.53%；项目支出253.70万元，占11.47%</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529455" cy="208343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4529455" cy="2083435"/>
                    </a:xfrm>
                    <a:prstGeom prst="rect">
                      <a:avLst/>
                    </a:prstGeom>
                    <a:noFill/>
                    <a:ln>
                      <a:noFill/>
                    </a:ln>
                  </pic:spPr>
                </pic:pic>
              </a:graphicData>
            </a:graphic>
          </wp:inline>
        </w:drawing>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湟源县畜牧兽医站2023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湟源县畜牧兽医站2023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2212.03</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增加308.10</w:t>
      </w:r>
      <w:r>
        <w:rPr>
          <w:rFonts w:hint="eastAsia" w:ascii="仿宋_GB2312" w:eastAsia="仿宋_GB2312"/>
          <w:sz w:val="32"/>
          <w:szCs w:val="32"/>
        </w:rPr>
        <w:t>万元，主要是</w:t>
      </w:r>
      <w:r>
        <w:rPr>
          <w:rFonts w:hint="eastAsia" w:ascii="仿宋_GB2312" w:eastAsia="仿宋_GB2312"/>
          <w:sz w:val="32"/>
          <w:szCs w:val="32"/>
          <w:lang w:val="en-US" w:eastAsia="zh-CN"/>
        </w:rPr>
        <w:t>新招录人员增加，项目增加</w:t>
      </w:r>
      <w:r>
        <w:rPr>
          <w:rFonts w:hint="eastAsia" w:ascii="仿宋_GB2312" w:eastAsia="仿宋_GB2312"/>
          <w:sz w:val="32"/>
          <w:szCs w:val="32"/>
        </w:rPr>
        <w:t>。</w:t>
      </w:r>
      <w:r>
        <w:rPr>
          <w:rFonts w:hint="eastAsia" w:ascii="仿宋_GB2312" w:eastAsia="仿宋_GB2312"/>
          <w:sz w:val="32"/>
          <w:szCs w:val="32"/>
          <w:highlight w:val="none"/>
        </w:rPr>
        <w:t>收入包括：</w:t>
      </w:r>
      <w:r>
        <w:rPr>
          <w:rFonts w:hint="eastAsia" w:ascii="仿宋_GB2312" w:eastAsia="仿宋_GB2312"/>
          <w:sz w:val="32"/>
          <w:szCs w:val="32"/>
          <w:highlight w:val="none"/>
          <w:lang w:val="en-US" w:eastAsia="zh-CN"/>
        </w:rPr>
        <w:t>一般公共预算拨款收入22</w:t>
      </w:r>
      <w:r>
        <w:rPr>
          <w:rFonts w:hint="eastAsia" w:ascii="仿宋_GB2312" w:eastAsia="仿宋_GB2312"/>
          <w:sz w:val="32"/>
          <w:szCs w:val="32"/>
          <w:lang w:val="en-US" w:eastAsia="zh-CN"/>
        </w:rPr>
        <w:t>12.03万元，上年结转0.00万元；政府性基金预算拨款收入0.00万元，上年结转0.00万元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社会保障和就业支出316.50万元， 卫生健康支出156.28万元， 农林水支出1605.00万元， 住房保障支出134.25万元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508500" cy="2073910"/>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9"/>
                    <a:stretch>
                      <a:fillRect/>
                    </a:stretch>
                  </pic:blipFill>
                  <pic:spPr>
                    <a:xfrm>
                      <a:off x="0" y="0"/>
                      <a:ext cx="4508500" cy="2073910"/>
                    </a:xfrm>
                    <a:prstGeom prst="rect">
                      <a:avLst/>
                    </a:prstGeom>
                    <a:noFill/>
                    <a:ln>
                      <a:noFill/>
                    </a:ln>
                  </pic:spPr>
                </pic:pic>
              </a:graphicData>
            </a:graphic>
          </wp:inline>
        </w:drawing>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湟源县畜牧兽医站2023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sz w:val="32"/>
          <w:szCs w:val="32"/>
          <w:lang w:eastAsia="zh-CN"/>
        </w:rPr>
      </w:pPr>
      <w:r>
        <w:rPr>
          <w:rFonts w:hint="eastAsia" w:ascii="仿宋_GB2312" w:eastAsia="仿宋_GB2312"/>
          <w:sz w:val="32"/>
          <w:szCs w:val="32"/>
          <w:lang w:val="en-US" w:eastAsia="zh-CN"/>
        </w:rPr>
        <w:t>湟源县畜牧兽医站2023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2212.03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增加308.10</w:t>
      </w:r>
      <w:r>
        <w:rPr>
          <w:rFonts w:hint="eastAsia" w:ascii="仿宋_GB2312" w:eastAsia="仿宋_GB2312"/>
          <w:sz w:val="32"/>
          <w:szCs w:val="32"/>
        </w:rPr>
        <w:t>万元，主要是</w:t>
      </w:r>
      <w:r>
        <w:rPr>
          <w:rFonts w:hint="eastAsia" w:ascii="仿宋_GB2312" w:eastAsia="仿宋_GB2312"/>
          <w:sz w:val="32"/>
          <w:szCs w:val="32"/>
          <w:lang w:val="en-US" w:eastAsia="zh-CN"/>
        </w:rPr>
        <w:t>新招录人员增加及项目增加</w:t>
      </w:r>
      <w:r>
        <w:rPr>
          <w:rFonts w:hint="eastAsia" w:ascii="仿宋_GB2312" w:eastAsia="仿宋_GB2312"/>
          <w:sz w:val="32"/>
          <w:szCs w:val="32"/>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drawing>
          <wp:inline distT="0" distB="0" distL="114300" distR="114300">
            <wp:extent cx="4248785" cy="1452880"/>
            <wp:effectExtent l="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0"/>
                    <a:stretch>
                      <a:fillRect/>
                    </a:stretch>
                  </pic:blipFill>
                  <pic:spPr>
                    <a:xfrm>
                      <a:off x="0" y="0"/>
                      <a:ext cx="4248785" cy="1452880"/>
                    </a:xfrm>
                    <a:prstGeom prst="rect">
                      <a:avLst/>
                    </a:prstGeom>
                    <a:noFill/>
                    <a:ln>
                      <a:noFill/>
                    </a:ln>
                  </pic:spPr>
                </pic:pic>
              </a:graphicData>
            </a:graphic>
          </wp:inline>
        </w:drawing>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社会保障和就业支出316.50万元，占14.31%；卫生健康支出156.28万元，占7.07%；农林水支出1605.00万元，占72.56%；住房保障支出134.25万元，占6.07%</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57.75pt;width:342.9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137.58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增加27.02</w:t>
      </w:r>
      <w:r>
        <w:rPr>
          <w:rFonts w:hint="eastAsia" w:ascii="仿宋_GB2312" w:eastAsia="仿宋_GB2312"/>
          <w:sz w:val="32"/>
          <w:szCs w:val="32"/>
        </w:rPr>
        <w:t>万元，</w:t>
      </w:r>
      <w:r>
        <w:rPr>
          <w:rFonts w:hint="eastAsia" w:ascii="仿宋_GB2312" w:eastAsia="仿宋_GB2312"/>
          <w:sz w:val="32"/>
          <w:szCs w:val="32"/>
          <w:lang w:val="en-US" w:eastAsia="zh-CN"/>
        </w:rPr>
        <w:t>增长24.44</w:t>
      </w:r>
      <w:r>
        <w:rPr>
          <w:rFonts w:hint="eastAsia" w:ascii="仿宋_GB2312" w:eastAsia="仿宋_GB2312"/>
          <w:sz w:val="32"/>
          <w:szCs w:val="32"/>
        </w:rPr>
        <w:t>%。</w:t>
      </w:r>
      <w:r>
        <w:rPr>
          <w:rFonts w:hint="eastAsia" w:ascii="仿宋_GB2312" w:eastAsia="仿宋_GB2312"/>
          <w:sz w:val="32"/>
          <w:szCs w:val="32"/>
          <w:highlight w:val="none"/>
          <w:lang w:val="en-US" w:eastAsia="zh-CN"/>
        </w:rPr>
        <w:t>主要是事业人员调动增加，社会保障和就业支出类养老缴费预算增加，机关事业养老保险基数调整。</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68.79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增加13.51</w:t>
      </w:r>
      <w:r>
        <w:rPr>
          <w:rFonts w:hint="eastAsia" w:ascii="仿宋_GB2312" w:eastAsia="仿宋_GB2312"/>
          <w:sz w:val="32"/>
          <w:szCs w:val="32"/>
        </w:rPr>
        <w:t>万元，</w:t>
      </w:r>
      <w:r>
        <w:rPr>
          <w:rFonts w:hint="eastAsia" w:ascii="仿宋_GB2312" w:eastAsia="仿宋_GB2312"/>
          <w:sz w:val="32"/>
          <w:szCs w:val="32"/>
          <w:lang w:val="en-US" w:eastAsia="zh-CN"/>
        </w:rPr>
        <w:t>增长24.44</w:t>
      </w:r>
      <w:r>
        <w:rPr>
          <w:rFonts w:hint="eastAsia" w:ascii="仿宋_GB2312" w:eastAsia="仿宋_GB2312"/>
          <w:sz w:val="32"/>
          <w:szCs w:val="32"/>
        </w:rPr>
        <w:t>%。</w:t>
      </w:r>
      <w:r>
        <w:rPr>
          <w:rFonts w:hint="eastAsia" w:ascii="仿宋_GB2312" w:eastAsia="仿宋_GB2312"/>
          <w:sz w:val="32"/>
          <w:szCs w:val="32"/>
          <w:highlight w:val="none"/>
          <w:lang w:val="en-US" w:eastAsia="zh-CN"/>
        </w:rPr>
        <w:t>主要是事业人员调动增加，社会保障和就业支出类职业年金缴费预算增加，机关事业养老保险基数调整。</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3、</w:t>
      </w: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行政事业单位养老支出</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其他行政事业单位养老支出</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104.12</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增加24.07</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增长30.07</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主要是事业人员调动增加，社会保障和就业支出类养老缴费预算增加，机关事业养老保险基数调整。</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4、</w:t>
      </w: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其他社会保障和就业支出</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其他社会保障和就业支出</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6.01</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减少0.25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下降3.99</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主要是事业人员调动增加，社会保障和就业支出类社保缴费预算增加，机关事业养老保险基数调整。</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87.70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减少4.11</w:t>
      </w:r>
      <w:r>
        <w:rPr>
          <w:rFonts w:hint="eastAsia" w:ascii="仿宋_GB2312" w:eastAsia="仿宋_GB2312"/>
          <w:sz w:val="32"/>
          <w:szCs w:val="32"/>
        </w:rPr>
        <w:t>万元，</w:t>
      </w:r>
      <w:r>
        <w:rPr>
          <w:rFonts w:hint="eastAsia" w:ascii="仿宋_GB2312" w:eastAsia="仿宋_GB2312"/>
          <w:sz w:val="32"/>
          <w:szCs w:val="32"/>
          <w:lang w:val="en-US" w:eastAsia="zh-CN"/>
        </w:rPr>
        <w:t>下降4.48</w:t>
      </w:r>
      <w:r>
        <w:rPr>
          <w:rFonts w:hint="eastAsia" w:ascii="仿宋_GB2312" w:eastAsia="仿宋_GB2312"/>
          <w:sz w:val="32"/>
          <w:szCs w:val="32"/>
        </w:rPr>
        <w:t>%。</w:t>
      </w:r>
      <w:r>
        <w:rPr>
          <w:rFonts w:hint="eastAsia" w:ascii="仿宋_GB2312" w:eastAsia="仿宋_GB2312"/>
          <w:sz w:val="32"/>
          <w:szCs w:val="32"/>
          <w:highlight w:val="none"/>
          <w:lang w:val="en-US" w:eastAsia="zh-CN"/>
        </w:rPr>
        <w:t>主要是新增退休人员两名。</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68.58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减少2.98</w:t>
      </w:r>
      <w:r>
        <w:rPr>
          <w:rFonts w:hint="eastAsia" w:ascii="仿宋_GB2312" w:eastAsia="仿宋_GB2312"/>
          <w:sz w:val="32"/>
          <w:szCs w:val="32"/>
        </w:rPr>
        <w:t>万元，</w:t>
      </w:r>
      <w:r>
        <w:rPr>
          <w:rFonts w:hint="eastAsia" w:ascii="仿宋_GB2312" w:eastAsia="仿宋_GB2312"/>
          <w:sz w:val="32"/>
          <w:szCs w:val="32"/>
          <w:lang w:val="en-US" w:eastAsia="zh-CN"/>
        </w:rPr>
        <w:t>下降4.16</w:t>
      </w:r>
      <w:r>
        <w:rPr>
          <w:rFonts w:hint="eastAsia" w:ascii="仿宋_GB2312" w:eastAsia="仿宋_GB2312"/>
          <w:sz w:val="32"/>
          <w:szCs w:val="32"/>
        </w:rPr>
        <w:t>%。</w:t>
      </w:r>
      <w:r>
        <w:rPr>
          <w:rFonts w:hint="eastAsia" w:ascii="仿宋_GB2312" w:eastAsia="仿宋_GB2312"/>
          <w:sz w:val="32"/>
          <w:szCs w:val="32"/>
          <w:highlight w:val="none"/>
          <w:lang w:val="en-US" w:eastAsia="zh-CN"/>
        </w:rPr>
        <w:t>主要是新增退休人员两名。</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农业农村</w:t>
      </w:r>
      <w:r>
        <w:rPr>
          <w:rFonts w:hint="eastAsia" w:ascii="仿宋_GB2312" w:eastAsia="仿宋_GB2312"/>
          <w:sz w:val="32"/>
          <w:szCs w:val="32"/>
        </w:rPr>
        <w:t>（款）</w:t>
      </w:r>
      <w:r>
        <w:rPr>
          <w:rFonts w:hint="eastAsia" w:ascii="仿宋_GB2312" w:eastAsia="仿宋_GB2312"/>
          <w:sz w:val="32"/>
          <w:szCs w:val="32"/>
          <w:lang w:val="en-US" w:eastAsia="zh-CN"/>
        </w:rPr>
        <w:t>事业运行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1605.00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增加223.94</w:t>
      </w:r>
      <w:r>
        <w:rPr>
          <w:rFonts w:hint="eastAsia" w:ascii="仿宋_GB2312" w:eastAsia="仿宋_GB2312"/>
          <w:sz w:val="32"/>
          <w:szCs w:val="32"/>
        </w:rPr>
        <w:t>万元，</w:t>
      </w:r>
      <w:r>
        <w:rPr>
          <w:rFonts w:hint="eastAsia" w:ascii="仿宋_GB2312" w:eastAsia="仿宋_GB2312"/>
          <w:sz w:val="32"/>
          <w:szCs w:val="32"/>
          <w:lang w:val="en-US" w:eastAsia="zh-CN"/>
        </w:rPr>
        <w:t>增长16.22</w:t>
      </w:r>
      <w:r>
        <w:rPr>
          <w:rFonts w:hint="eastAsia" w:ascii="仿宋_GB2312" w:eastAsia="仿宋_GB2312"/>
          <w:sz w:val="32"/>
          <w:szCs w:val="32"/>
        </w:rPr>
        <w:t>%。</w:t>
      </w:r>
      <w:r>
        <w:rPr>
          <w:rFonts w:hint="eastAsia" w:ascii="仿宋_GB2312" w:eastAsia="仿宋_GB2312"/>
          <w:sz w:val="32"/>
          <w:szCs w:val="32"/>
          <w:highlight w:val="none"/>
          <w:lang w:val="en-US" w:eastAsia="zh-CN"/>
        </w:rPr>
        <w:t>主要是新招录及调入事业人员增加。</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134.25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增加26.90</w:t>
      </w:r>
      <w:r>
        <w:rPr>
          <w:rFonts w:hint="eastAsia" w:ascii="仿宋_GB2312" w:eastAsia="仿宋_GB2312"/>
          <w:sz w:val="32"/>
          <w:szCs w:val="32"/>
        </w:rPr>
        <w:t>万元，</w:t>
      </w:r>
      <w:r>
        <w:rPr>
          <w:rFonts w:hint="eastAsia" w:ascii="仿宋_GB2312" w:eastAsia="仿宋_GB2312"/>
          <w:sz w:val="32"/>
          <w:szCs w:val="32"/>
          <w:lang w:val="en-US" w:eastAsia="zh-CN"/>
        </w:rPr>
        <w:t>增长25.06</w:t>
      </w:r>
      <w:r>
        <w:rPr>
          <w:rFonts w:hint="eastAsia" w:ascii="仿宋_GB2312" w:eastAsia="仿宋_GB2312"/>
          <w:sz w:val="32"/>
          <w:szCs w:val="32"/>
        </w:rPr>
        <w:t>%。主</w:t>
      </w:r>
      <w:r>
        <w:rPr>
          <w:rFonts w:hint="eastAsia" w:ascii="仿宋_GB2312" w:eastAsia="仿宋_GB2312"/>
          <w:sz w:val="32"/>
          <w:szCs w:val="32"/>
          <w:highlight w:val="none"/>
          <w:lang w:val="en-US" w:eastAsia="zh-CN"/>
        </w:rPr>
        <w:t>要是公积金基数调整补缴。</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湟源县畜牧兽医站2023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湟源县畜牧兽医站2023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1958.33</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1910.39</w:t>
      </w:r>
      <w:r>
        <w:rPr>
          <w:rFonts w:hint="eastAsia" w:ascii="仿宋_GB2312" w:eastAsia="仿宋_GB2312"/>
          <w:sz w:val="32"/>
          <w:szCs w:val="32"/>
        </w:rPr>
        <w:t>万元，主要包括：</w:t>
      </w:r>
      <w:r>
        <w:rPr>
          <w:rFonts w:hint="eastAsia" w:ascii="仿宋_GB2312" w:eastAsia="仿宋_GB2312"/>
          <w:sz w:val="32"/>
          <w:szCs w:val="32"/>
          <w:lang w:val="en-US" w:eastAsia="zh-CN"/>
        </w:rPr>
        <w:t>基本工资336.41万元、津贴补贴360.34万元、绩效工资453.62万元、机关事业单位基本养老保险缴费137.58万元、职业年金缴费68.79万元、职工基本医疗保险缴费55.82万元、公务员医疗补助缴费68.58万元、其他社会保障缴费6.01万元、住房公积金134.25万元、其他工资福利支出153.00万元、退休费96.53万元、生活补助7.59万元、医疗费补助31.88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47.93</w:t>
      </w:r>
      <w:r>
        <w:rPr>
          <w:rFonts w:hint="eastAsia" w:ascii="仿宋_GB2312" w:eastAsia="仿宋_GB2312"/>
          <w:sz w:val="32"/>
          <w:szCs w:val="32"/>
        </w:rPr>
        <w:t>万元，主要包括：</w:t>
      </w:r>
      <w:r>
        <w:rPr>
          <w:rFonts w:hint="eastAsia" w:ascii="仿宋_GB2312" w:eastAsia="仿宋_GB2312"/>
          <w:sz w:val="32"/>
          <w:szCs w:val="32"/>
          <w:lang w:val="en-US" w:eastAsia="zh-CN"/>
        </w:rPr>
        <w:t>办公费2.13万元、水费1.42万元、电费1.42万元、邮电费3.55万元、取暖费7.10万元、差旅费2.84万元、公务接待费1.42万元、工会经费17.17万元、公务用车运行维护费7.20万元、其他商品和服务支出3.68万元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湟源县畜牧兽医站2023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湟源县畜牧兽医站2023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8.62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减少0.02</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7.20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1.42</w:t>
      </w:r>
      <w:r>
        <w:rPr>
          <w:rFonts w:hint="eastAsia" w:ascii="仿宋_GB2312" w:eastAsia="仿宋_GB2312"/>
          <w:sz w:val="32"/>
          <w:szCs w:val="32"/>
        </w:rPr>
        <w:t>万元，</w:t>
      </w:r>
      <w:r>
        <w:rPr>
          <w:rFonts w:hint="eastAsia" w:ascii="仿宋_GB2312" w:eastAsia="仿宋_GB2312"/>
          <w:sz w:val="32"/>
          <w:szCs w:val="32"/>
          <w:lang w:val="en-US" w:eastAsia="zh-CN"/>
        </w:rPr>
        <w:t>减少0.02</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w:t>
      </w:r>
      <w:r>
        <w:rPr>
          <w:rFonts w:hint="eastAsia" w:ascii="仿宋_GB2312" w:eastAsia="仿宋_GB2312"/>
          <w:sz w:val="32"/>
          <w:szCs w:val="32"/>
        </w:rPr>
        <w:t>主要是接待次数减少</w:t>
      </w:r>
      <w:r>
        <w:rPr>
          <w:rFonts w:hint="eastAsia" w:ascii="仿宋_GB2312" w:eastAsia="仿宋_GB2312"/>
          <w:sz w:val="32"/>
          <w:szCs w:val="32"/>
          <w:lang w:eastAsia="zh-CN"/>
        </w:rPr>
        <w:t>，</w:t>
      </w:r>
      <w:r>
        <w:rPr>
          <w:rFonts w:hint="eastAsia" w:ascii="仿宋_GB2312" w:eastAsia="仿宋_GB2312"/>
          <w:sz w:val="32"/>
          <w:szCs w:val="32"/>
          <w:lang w:val="en-US" w:eastAsia="zh-CN"/>
        </w:rPr>
        <w:t>新增退休人员</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湟源县畜牧兽医站2023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湟源县畜牧兽医站2023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Times New Roman" w:eastAsia="仿宋_GB2312" w:cs="Times New Roman"/>
          <w:kern w:val="2"/>
          <w:sz w:val="32"/>
          <w:szCs w:val="32"/>
          <w:lang w:val="en-US" w:eastAsia="zh-CN" w:bidi="ar-SA"/>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湟源县畜牧兽医站</w:t>
      </w:r>
      <w:r>
        <w:rPr>
          <w:rFonts w:hint="eastAsia" w:ascii="仿宋_GB2312" w:hAnsi="仿宋" w:eastAsia="仿宋_GB2312"/>
          <w:spacing w:val="-6"/>
          <w:kern w:val="2"/>
          <w:sz w:val="32"/>
          <w:szCs w:val="32"/>
          <w:lang w:val="en-US"/>
        </w:rPr>
        <w:t>机关运行经费财政拨款预算47.93万元，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预算减少1.01万元，下降2.06%。</w:t>
      </w:r>
      <w:r>
        <w:rPr>
          <w:rFonts w:hint="eastAsia" w:ascii="仿宋_GB2312" w:hAnsi="Times New Roman" w:eastAsia="仿宋_GB2312" w:cs="Times New Roman"/>
          <w:kern w:val="2"/>
          <w:sz w:val="32"/>
          <w:szCs w:val="32"/>
          <w:lang w:val="en-US" w:eastAsia="zh-CN" w:bidi="ar-SA"/>
        </w:rPr>
        <w:t>主要是按照政府过紧日子的要求，我单位缩减办公费用。</w:t>
      </w:r>
    </w:p>
    <w:p>
      <w:pPr>
        <w:adjustRightInd w:val="0"/>
        <w:snapToGrid w:val="0"/>
        <w:spacing w:line="560" w:lineRule="exact"/>
        <w:ind w:firstLine="309" w:firstLineChars="1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湟源县畜牧兽医站各单位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w:t>
      </w:r>
      <w:r>
        <w:rPr>
          <w:rFonts w:hint="eastAsia" w:ascii="仿宋_GB2312" w:hAnsi="仿宋" w:eastAsia="仿宋_GB2312"/>
          <w:spacing w:val="-6"/>
          <w:kern w:val="2"/>
          <w:sz w:val="32"/>
          <w:szCs w:val="32"/>
          <w:lang w:val="en-US"/>
        </w:rPr>
        <w:t>，其中：政府采购货物预算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w:t>
      </w:r>
      <w:r>
        <w:rPr>
          <w:rFonts w:hint="eastAsia" w:ascii="仿宋_GB2312" w:hAnsi="仿宋" w:eastAsia="仿宋_GB2312"/>
          <w:spacing w:val="-6"/>
          <w:kern w:val="2"/>
          <w:sz w:val="32"/>
          <w:szCs w:val="32"/>
          <w:lang w:val="en-US"/>
        </w:rPr>
        <w:t>、政府采购工程预算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w:t>
      </w:r>
      <w:r>
        <w:rPr>
          <w:rFonts w:hint="eastAsia" w:ascii="仿宋_GB2312" w:hAnsi="仿宋" w:eastAsia="仿宋_GB2312"/>
          <w:spacing w:val="-6"/>
          <w:kern w:val="2"/>
          <w:sz w:val="32"/>
          <w:szCs w:val="32"/>
          <w:lang w:val="en-US"/>
        </w:rPr>
        <w:t>、政府采购服务预</w:t>
      </w:r>
      <w:r>
        <w:rPr>
          <w:rFonts w:hint="eastAsia" w:ascii="仿宋_GB2312" w:hAnsi="仿宋" w:eastAsia="仿宋_GB2312"/>
          <w:spacing w:val="-6"/>
          <w:kern w:val="2"/>
          <w:sz w:val="32"/>
          <w:szCs w:val="32"/>
          <w:highlight w:val="none"/>
          <w:lang w:val="en-US"/>
        </w:rPr>
        <w:t>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highlight w:val="none"/>
          <w:lang w:val="en-US"/>
        </w:rPr>
      </w:pPr>
      <w:r>
        <w:rPr>
          <w:rFonts w:hint="eastAsia" w:ascii="仿宋_GB2312" w:hAnsi="仿宋" w:eastAsia="仿宋_GB2312"/>
          <w:spacing w:val="-6"/>
          <w:kern w:val="2"/>
          <w:sz w:val="32"/>
          <w:szCs w:val="32"/>
          <w:highlight w:val="none"/>
          <w:lang w:val="en-US"/>
        </w:rPr>
        <w:t>截至2023年</w:t>
      </w:r>
      <w:r>
        <w:rPr>
          <w:rFonts w:hint="eastAsia" w:ascii="仿宋_GB2312" w:hAnsi="仿宋" w:eastAsia="仿宋_GB2312"/>
          <w:spacing w:val="-6"/>
          <w:kern w:val="2"/>
          <w:sz w:val="32"/>
          <w:szCs w:val="32"/>
          <w:highlight w:val="none"/>
          <w:lang w:val="en-US" w:eastAsia="zh-CN"/>
        </w:rPr>
        <w:t>2</w:t>
      </w:r>
      <w:r>
        <w:rPr>
          <w:rFonts w:hint="eastAsia" w:ascii="仿宋_GB2312" w:hAnsi="仿宋" w:eastAsia="仿宋_GB2312"/>
          <w:spacing w:val="-6"/>
          <w:kern w:val="2"/>
          <w:sz w:val="32"/>
          <w:szCs w:val="32"/>
          <w:highlight w:val="none"/>
          <w:lang w:val="en-US"/>
        </w:rPr>
        <w:t>月底，</w:t>
      </w:r>
      <w:r>
        <w:rPr>
          <w:rFonts w:hint="eastAsia" w:ascii="仿宋_GB2312" w:hAnsi="仿宋" w:eastAsia="仿宋_GB2312"/>
          <w:spacing w:val="-6"/>
          <w:kern w:val="2"/>
          <w:sz w:val="32"/>
          <w:szCs w:val="32"/>
          <w:highlight w:val="none"/>
          <w:lang w:val="en-US" w:eastAsia="zh-CN"/>
        </w:rPr>
        <w:t>湟源县畜牧兽医站所属各预算单位</w:t>
      </w:r>
      <w:r>
        <w:rPr>
          <w:rFonts w:hint="eastAsia" w:ascii="仿宋_GB2312" w:hAnsi="仿宋" w:eastAsia="仿宋_GB2312"/>
          <w:spacing w:val="-6"/>
          <w:kern w:val="2"/>
          <w:sz w:val="32"/>
          <w:szCs w:val="32"/>
          <w:highlight w:val="none"/>
          <w:lang w:val="en-US"/>
        </w:rPr>
        <w:t>共有车辆</w:t>
      </w:r>
      <w:r>
        <w:rPr>
          <w:rFonts w:hint="eastAsia" w:ascii="仿宋_GB2312" w:hAnsi="仿宋" w:eastAsia="仿宋_GB2312"/>
          <w:spacing w:val="-6"/>
          <w:kern w:val="2"/>
          <w:sz w:val="32"/>
          <w:szCs w:val="32"/>
          <w:highlight w:val="none"/>
          <w:lang w:val="en-US" w:eastAsia="zh-CN"/>
        </w:rPr>
        <w:t>14</w:t>
      </w:r>
      <w:r>
        <w:rPr>
          <w:rFonts w:hint="eastAsia" w:ascii="仿宋_GB2312" w:hAnsi="仿宋" w:eastAsia="仿宋_GB2312"/>
          <w:spacing w:val="-6"/>
          <w:kern w:val="2"/>
          <w:sz w:val="32"/>
          <w:szCs w:val="32"/>
          <w:highlight w:val="none"/>
          <w:lang w:val="en-US"/>
        </w:rPr>
        <w:t>辆，其中，省级领导干部用车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辆、厅级领导干部用车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辆、一般公务用车</w:t>
      </w:r>
      <w:r>
        <w:rPr>
          <w:rFonts w:hint="eastAsia" w:ascii="仿宋_GB2312" w:hAnsi="仿宋" w:eastAsia="仿宋_GB2312"/>
          <w:spacing w:val="-6"/>
          <w:kern w:val="2"/>
          <w:sz w:val="32"/>
          <w:szCs w:val="32"/>
          <w:highlight w:val="none"/>
          <w:lang w:val="en-US" w:eastAsia="zh-CN"/>
        </w:rPr>
        <w:t>14</w:t>
      </w:r>
      <w:r>
        <w:rPr>
          <w:rFonts w:hint="eastAsia" w:ascii="仿宋_GB2312" w:hAnsi="仿宋" w:eastAsia="仿宋_GB2312"/>
          <w:spacing w:val="-6"/>
          <w:kern w:val="2"/>
          <w:sz w:val="32"/>
          <w:szCs w:val="32"/>
          <w:highlight w:val="none"/>
          <w:lang w:val="en-US"/>
        </w:rPr>
        <w:t>辆、一般执法执勤用车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辆、特种专业技术用车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辆、其他用车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辆。单价50万元以上通用设备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台（套），单价100万元以上专用设备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eastAsia="仿宋_GB2312"/>
          <w:b/>
          <w:sz w:val="32"/>
          <w:szCs w:val="32"/>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湟源县畜牧兽医站</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7</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253.70</w:t>
      </w:r>
      <w:r>
        <w:rPr>
          <w:rFonts w:hint="eastAsia" w:ascii="仿宋_GB2312" w:hAnsi="仿宋" w:eastAsia="仿宋_GB2312"/>
          <w:spacing w:val="-6"/>
          <w:kern w:val="2"/>
          <w:sz w:val="32"/>
          <w:szCs w:val="32"/>
          <w:lang w:val="en-US"/>
        </w:rPr>
        <w:t>万元。</w:t>
      </w:r>
    </w:p>
    <w:p>
      <w:pPr>
        <w:jc w:val="center"/>
        <w:rPr>
          <w:rFonts w:ascii="仿宋_GB2312" w:eastAsia="仿宋_GB2312"/>
          <w:b/>
          <w:sz w:val="32"/>
          <w:szCs w:val="32"/>
        </w:rPr>
      </w:pPr>
    </w:p>
    <w:tbl>
      <w:tblPr>
        <w:tblStyle w:val="7"/>
        <w:tblW w:w="104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2"/>
        <w:gridCol w:w="1209"/>
        <w:gridCol w:w="1795"/>
        <w:gridCol w:w="671"/>
        <w:gridCol w:w="667"/>
        <w:gridCol w:w="1883"/>
        <w:gridCol w:w="825"/>
        <w:gridCol w:w="917"/>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48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65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67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2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畜牧站乡镇动物防疫工作经费</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确保湟源县各乡镇畜牧兽医站防疫工作正常开展。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动物防疫工作经费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疾病防控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让人民群众提高满意度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畜牧站检疫经费</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做好全县产地检疫工作，到厂到户，确保市场流通环节的肉食品安全。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产地检疫畜禽头数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万头/只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肉食品安全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吃上放心肉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畜牧站包虫病经费</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动物防疫法法律法规及物疫病防控知识宣传，以及包虫病知识宣传，确保包虫病经费的正常发放。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犬驱虫数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万头/只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犬驱虫数达标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让人民群众提高满意度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村防疫员工资等防疫经费</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45.00</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确保湟源县村级动物防疫员工资的正常发放。</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防疫员工作经费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疾病防控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防疫员满意度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畜牧站动物防疫注射栏县级配套</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畜牧站动物防疫注射栏县级配套</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注射栏达配套要求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基本保障畜产品安全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服务对象基本满意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畜牧站布病阳性畜强制扑杀的县级补贴</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8.70</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畜牧站布病阳性畜强制扑杀的县级补贴</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核实具体数额</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少造成后续伤害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服务对象基本满意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2022年畜牧站防疫员工资</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170.00</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2022年畜牧站防疫员工资</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时效指标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1年防疫员工资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保障防疫员工资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农户满意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社会保障和就业支出（类）行政事业单位养老支出（款）机关事业单位基本养老保险缴费支出（项）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（二）社会保障和就业支出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（三）卫生健康支出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（四）卫生健康支出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（六）社会保障和就业支出（类）其他社会保障和就业支出（款）其他社会保障和就业支出（项）：</w:t>
      </w:r>
      <w:r>
        <w:rPr>
          <w:rFonts w:hint="eastAsia" w:ascii="仿宋_GB2312" w:eastAsia="仿宋_GB2312"/>
          <w:b w:val="0"/>
          <w:bCs w:val="0"/>
          <w:sz w:val="32"/>
          <w:szCs w:val="32"/>
          <w:lang w:eastAsia="zh-CN"/>
        </w:rPr>
        <w:t>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（七）住房保障支出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反映行政事业单位按人力资源和社会保障部、财政部规定的基本工资和津贴补贴以及规定比例为职工缴纳的住房公积金。</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（八）农林水支出（类）农业农村（款）事业运行（项）：</w:t>
      </w:r>
      <w:r>
        <w:rPr>
          <w:rFonts w:hint="eastAsia" w:ascii="仿宋_GB2312" w:eastAsia="仿宋_GB2312"/>
          <w:b w:val="0"/>
          <w:bCs w:val="0"/>
          <w:sz w:val="32"/>
          <w:szCs w:val="32"/>
          <w:lang w:eastAsia="zh-CN"/>
        </w:rPr>
        <w:t>反映用于农业事业单位基本支出，事业单位设施、系统运行与资产维护等方面的支出。</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ZjdiODJlYjg4MmUyMDhiYmMzZjVlOGFhYjIyOTI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741003"/>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37F59"/>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35B93"/>
    <w:rsid w:val="0C1666D9"/>
    <w:rsid w:val="0C33338D"/>
    <w:rsid w:val="0C3837AD"/>
    <w:rsid w:val="0C461B4F"/>
    <w:rsid w:val="0CB620EA"/>
    <w:rsid w:val="0CBF274A"/>
    <w:rsid w:val="0CE83E39"/>
    <w:rsid w:val="0D10080F"/>
    <w:rsid w:val="0D10137A"/>
    <w:rsid w:val="0D103128"/>
    <w:rsid w:val="0D190642"/>
    <w:rsid w:val="0D1F15BD"/>
    <w:rsid w:val="0D347D03"/>
    <w:rsid w:val="0D4C7ED9"/>
    <w:rsid w:val="0D764D8D"/>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7B5FD1"/>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166281"/>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0A33D0"/>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080AB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642AE5"/>
    <w:rsid w:val="7B811F45"/>
    <w:rsid w:val="7BB35E76"/>
    <w:rsid w:val="7BB46E71"/>
    <w:rsid w:val="7BB64E3B"/>
    <w:rsid w:val="7BBA0721"/>
    <w:rsid w:val="7BC260B9"/>
    <w:rsid w:val="7BEC568C"/>
    <w:rsid w:val="7BF73FB5"/>
    <w:rsid w:val="7BFD3F26"/>
    <w:rsid w:val="7C1D1542"/>
    <w:rsid w:val="7C4D62CB"/>
    <w:rsid w:val="7C624B36"/>
    <w:rsid w:val="7C6B6751"/>
    <w:rsid w:val="7C812849"/>
    <w:rsid w:val="7CA77344"/>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bidi="zh-CN"/>
    </w:r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unhideWhenUsed/>
    <w:qFormat/>
    <w:uiPriority w:val="99"/>
    <w:pPr>
      <w:ind w:firstLine="420" w:firstLineChars="100"/>
    </w:pPr>
  </w:style>
  <w:style w:type="character" w:styleId="9">
    <w:name w:val="page number"/>
    <w:basedOn w:val="8"/>
    <w:qFormat/>
    <w:uiPriority w:val="0"/>
  </w:style>
  <w:style w:type="character" w:customStyle="1" w:styleId="10">
    <w:name w:val="批注框文本 Char"/>
    <w:link w:val="3"/>
    <w:semiHidden/>
    <w:qFormat/>
    <w:uiPriority w:val="99"/>
    <w:rPr>
      <w:rFonts w:ascii="Times New Roman" w:hAnsi="Times New Roman"/>
      <w:kern w:val="2"/>
      <w:sz w:val="18"/>
      <w:szCs w:val="18"/>
    </w:rPr>
  </w:style>
  <w:style w:type="character" w:customStyle="1" w:styleId="11">
    <w:name w:val="页脚 Char"/>
    <w:link w:val="4"/>
    <w:qFormat/>
    <w:uiPriority w:val="99"/>
    <w:rPr>
      <w:rFonts w:ascii="Times New Roman" w:hAnsi="Times New Roman"/>
      <w:kern w:val="2"/>
      <w:sz w:val="18"/>
      <w:szCs w:val="18"/>
    </w:rPr>
  </w:style>
  <w:style w:type="character" w:customStyle="1" w:styleId="12">
    <w:name w:val="页眉 Char"/>
    <w:link w:val="5"/>
    <w:qFormat/>
    <w:uiPriority w:val="99"/>
    <w:rPr>
      <w:rFonts w:ascii="Times New Roman" w:hAnsi="Times New Roman"/>
      <w:kern w:val="2"/>
      <w:sz w:val="18"/>
      <w:szCs w:val="18"/>
    </w:rPr>
  </w:style>
  <w:style w:type="paragraph" w:styleId="13">
    <w:name w:val="List Paragraph"/>
    <w:basedOn w:val="1"/>
    <w:qFormat/>
    <w:uiPriority w:val="34"/>
    <w:pPr>
      <w:ind w:firstLine="420" w:firstLineChars="200"/>
    </w:pPr>
  </w:style>
  <w:style w:type="paragraph" w:styleId="14">
    <w:name w:val="No Spacing"/>
    <w:link w:val="15"/>
    <w:qFormat/>
    <w:uiPriority w:val="0"/>
    <w:rPr>
      <w:rFonts w:ascii="Calibri" w:hAnsi="Calibri" w:eastAsia="宋体" w:cs="Times New Roman"/>
      <w:sz w:val="22"/>
      <w:szCs w:val="22"/>
      <w:lang w:val="en-US" w:eastAsia="zh-CN" w:bidi="ar-SA"/>
    </w:rPr>
  </w:style>
  <w:style w:type="character" w:customStyle="1" w:styleId="15">
    <w:name w:val="无间隔 Char"/>
    <w:link w:val="14"/>
    <w:qFormat/>
    <w:uiPriority w:val="0"/>
    <w:rPr>
      <w:sz w:val="22"/>
      <w:szCs w:val="22"/>
      <w:lang w:bidi="ar-SA"/>
    </w:rPr>
  </w:style>
  <w:style w:type="paragraph" w:customStyle="1" w:styleId="16">
    <w:name w:val="正文1"/>
    <w:basedOn w:val="1"/>
    <w:qFormat/>
    <w:uiPriority w:val="0"/>
    <w:pPr>
      <w:widowControl/>
    </w:pPr>
    <w:rPr>
      <w:rFonts w:eastAsia="Times New Roman"/>
      <w:kern w:val="0"/>
      <w:lang w:val="zh-CN"/>
    </w:rPr>
  </w:style>
  <w:style w:type="character" w:customStyle="1" w:styleId="17">
    <w:name w:val="font4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6650</Words>
  <Characters>8185</Characters>
  <Lines>43</Lines>
  <Paragraphs>12</Paragraphs>
  <TotalTime>1</TotalTime>
  <ScaleCrop>false</ScaleCrop>
  <LinksUpToDate>false</LinksUpToDate>
  <CharactersWithSpaces>8293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可南冰</cp:lastModifiedBy>
  <cp:lastPrinted>2021-01-31T19:43:00Z</cp:lastPrinted>
  <dcterms:modified xsi:type="dcterms:W3CDTF">2023-09-07T02:08:20Z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2B87D6B9833D485BB03EC99386D1A491_13</vt:lpwstr>
  </property>
</Properties>
</file>